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t xml:space="preserve"/>
      </w:r>
    </w:p>
    <w:p>
      <w:pPr>
        <w:spacing w:after="100"/>
        <w:jc w:val="center"/>
      </w:pPr>
      <w:r>
        <w:rPr>
          <w:rFonts w:ascii="Calibri" w:cs="Calibri" w:eastAsia="Calibri" w:hAnsi="Calibri"/>
          <w:b/>
          <w:bCs/>
          <w:color w:val="0B2E4F"/>
          <w:sz w:val="56"/>
          <w:szCs w:val="56"/>
        </w:rPr>
        <w:t xml:space="preserve">SPEAK FOR YOU</w:t>
      </w:r>
    </w:p>
    <w:p>
      <w:pPr>
        <w:spacing w:after="800"/>
        <w:jc w:val="center"/>
      </w:pPr>
      <w:r>
        <w:rPr>
          <w:rFonts w:ascii="Calibri" w:cs="Calibri" w:eastAsia="Calibri" w:hAnsi="Calibri"/>
          <w:b/>
          <w:bCs/>
          <w:color w:val="B8893D"/>
          <w:sz w:val="22"/>
          <w:szCs w:val="22"/>
        </w:rPr>
        <w:t xml:space="preserve">INDEPENDENT CONSUMER ADVOCACY</w:t>
      </w:r>
    </w:p>
    <w:p>
      <w:pPr>
        <w:spacing w:after="300"/>
        <w:jc w:val="center"/>
      </w:pPr>
      <w:r>
        <w:rPr>
          <w:rFonts w:ascii="Calibri" w:cs="Calibri" w:eastAsia="Calibri" w:hAnsi="Calibri"/>
          <w:b/>
          <w:bCs/>
          <w:color w:val="0B2E4F"/>
          <w:sz w:val="40"/>
          <w:szCs w:val="40"/>
        </w:rPr>
        <w:t xml:space="preserve">FORENSIC IVA REVIEW REPORT</w:t>
      </w:r>
    </w:p>
    <w:p>
      <w:pPr>
        <w:spacing w:after="600"/>
        <w:jc w:val="center"/>
      </w:pPr>
      <w:r>
        <w:rPr>
          <w:rFonts w:ascii="Calibri" w:cs="Calibri" w:eastAsia="Calibri" w:hAnsi="Calibri"/>
          <w:i/>
          <w:iCs/>
          <w:color w:val="595959"/>
          <w:sz w:val="22"/>
          <w:szCs w:val="22"/>
        </w:rPr>
        <w:t xml:space="preserve">Sample Case Study — Published with Anonymised Detail</w:t>
      </w:r>
    </w:p>
    <w:p>
      <w:pPr>
        <w:spacing w:after="120"/>
        <w:jc w:val="center"/>
      </w:pPr>
      <w:r>
        <w:rPr>
          <w:rFonts w:ascii="Calibri" w:cs="Calibri" w:eastAsia="Calibri" w:hAnsi="Calibri"/>
          <w:b/>
          <w:bCs/>
          <w:color w:val="0B2E4F"/>
          <w:sz w:val="28"/>
          <w:szCs w:val="28"/>
        </w:rPr>
        <w:t xml:space="preserve">Client: Mr John Smith</w:t>
      </w:r>
    </w:p>
    <w:p>
      <w:pPr>
        <w:spacing w:after="120"/>
        <w:jc w:val="center"/>
      </w:pPr>
      <w:r>
        <w:rPr>
          <w:rFonts w:ascii="Calibri" w:cs="Calibri" w:eastAsia="Calibri" w:hAnsi="Calibri"/>
          <w:color w:val="595959"/>
          <w:sz w:val="22"/>
          <w:szCs w:val="22"/>
        </w:rPr>
        <w:t xml:space="preserve">Address: 21 Brown Street, Manchester, M44 6AP</w:t>
      </w:r>
    </w:p>
    <w:p>
      <w:pPr>
        <w:spacing w:after="120"/>
        <w:jc w:val="center"/>
      </w:pPr>
      <w:r>
        <w:rPr>
          <w:rFonts w:ascii="Calibri" w:cs="Calibri" w:eastAsia="Calibri" w:hAnsi="Calibri"/>
          <w:color w:val="595959"/>
          <w:sz w:val="22"/>
          <w:szCs w:val="22"/>
        </w:rPr>
        <w:t xml:space="preserve">Age at IVA Inception: 73</w:t>
      </w:r>
    </w:p>
    <w:p>
      <w:pPr>
        <w:spacing w:after="1000"/>
        <w:jc w:val="center"/>
      </w:pPr>
      <w:r>
        <w:rPr>
          <w:rFonts w:ascii="Calibri" w:cs="Calibri" w:eastAsia="Calibri" w:hAnsi="Calibri"/>
          <w:color w:val="595959"/>
          <w:sz w:val="22"/>
          <w:szCs w:val="22"/>
        </w:rPr>
        <w:t xml:space="preserve">IVA Commencement: September 2023</w:t>
      </w:r>
    </w:p>
    <w:p>
      <w:pPr>
        <w:spacing w:after="80"/>
        <w:jc w:val="center"/>
      </w:pPr>
      <w:r>
        <w:rPr>
          <w:rFonts w:ascii="Calibri" w:cs="Calibri" w:eastAsia="Calibri" w:hAnsi="Calibri"/>
          <w:color w:val="595959"/>
          <w:sz w:val="20"/>
          <w:szCs w:val="20"/>
        </w:rPr>
        <w:t xml:space="preserve">Report Prepared By: Speak For You Advocacy Team</w:t>
      </w:r>
    </w:p>
    <w:p>
      <w:pPr>
        <w:spacing w:after="80"/>
        <w:jc w:val="center"/>
      </w:pPr>
      <w:r>
        <w:rPr>
          <w:rFonts w:ascii="Calibri" w:cs="Calibri" w:eastAsia="Calibri" w:hAnsi="Calibri"/>
          <w:color w:val="595959"/>
          <w:sz w:val="20"/>
          <w:szCs w:val="20"/>
        </w:rPr>
        <w:t xml:space="preserve">Report Reference: SFY-SAMPLE-001</w:t>
      </w:r>
    </w:p>
    <w:p>
      <w:pPr>
        <w:spacing w:after="80"/>
        <w:jc w:val="center"/>
      </w:pPr>
      <w:r>
        <w:rPr>
          <w:rFonts w:ascii="Calibri" w:cs="Calibri" w:eastAsia="Calibri" w:hAnsi="Calibri"/>
          <w:color w:val="595959"/>
          <w:sz w:val="20"/>
          <w:szCs w:val="20"/>
        </w:rPr>
        <w:t xml:space="preserve">Date of Issue: 21 April 2026</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Important Notice</w:t>
      </w:r>
    </w:p>
    <w:p>
      <w:pPr>
        <w:spacing w:after="120" w:before="0" w:line="300"/>
      </w:pPr>
      <w:r>
        <w:rPr>
          <w:rFonts w:ascii="Calibri" w:cs="Calibri" w:eastAsia="Calibri" w:hAnsi="Calibri"/>
          <w:i/>
          <w:iCs/>
          <w:color w:val="595959"/>
          <w:sz w:val="22"/>
          <w:szCs w:val="22"/>
        </w:rPr>
        <w:t xml:space="preserve">This is an anonymised sample report published by Speak For You for illustrative purposes. The client name, address and case details depicted have been constructed to represent the pattern of unsuitable IVA placements that Speak For You commonly encounters among elderly and vulnerable consumers. Any resemblance to a real individual is coincidental.</w:t>
      </w:r>
    </w:p>
    <w:p>
      <w:pPr>
        <w:spacing w:after="240" w:before="0" w:line="300"/>
      </w:pPr>
      <w:r>
        <w:rPr>
          <w:rFonts w:ascii="Calibri" w:cs="Calibri" w:eastAsia="Calibri" w:hAnsi="Calibri"/>
          <w:i/>
          <w:iCs/>
          <w:color w:val="595959"/>
          <w:sz w:val="22"/>
          <w:szCs w:val="22"/>
        </w:rPr>
        <w:t xml:space="preserve">Speak For You is an independent consumer advocacy service. Speak For You is not authorised or regulated by the Financial Conduct Authority, is not a debt advice firm, and does not provide regulated debt counselling or debt adjusting services. Our role is forensic case review, advocacy correspondence, and the facilitation of solicitor referrals where legal redress appears appropriate.</w:t>
      </w:r>
    </w:p>
    <w:p>
      <w:pPr>
        <w:spacing w:after="120" w:before="0" w:line="300"/>
        <w:jc w:val="center"/>
      </w:pPr>
      <w:r>
        <w:rPr>
          <w:rFonts w:ascii="Calibri" w:cs="Calibri" w:eastAsia="Calibri" w:hAnsi="Calibri"/>
          <w:b/>
          <w:bCs/>
          <w:color w:val="0B2E4F"/>
          <w:sz w:val="20"/>
          <w:szCs w:val="20"/>
        </w:rPr>
        <w:t xml:space="preserve">Speak For You Ltd — Company No. 16773572 — 12 Malfield House, Malfield Avenue, Redditch, B97 6PW</w:t>
      </w:r>
    </w:p>
    <w:p>
      <w:pPr>
        <w:spacing w:after="120" w:before="0" w:line="300"/>
        <w:jc w:val="center"/>
      </w:pPr>
      <w:r>
        <w:rPr>
          <w:rFonts w:ascii="Calibri" w:cs="Calibri" w:eastAsia="Calibri" w:hAnsi="Calibri"/>
          <w:color w:val="0B2E4F"/>
          <w:sz w:val="20"/>
          <w:szCs w:val="20"/>
        </w:rPr>
        <w:t xml:space="preserve">0800 707 4264  •  admin@speakforyou.co.uk  •  www.speakforyou.co.uk</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1. Executive Summary</w:t>
      </w:r>
    </w:p>
    <w:p>
      <w:pPr>
        <w:spacing w:after="120" w:before="0" w:line="300"/>
      </w:pPr>
      <w:r>
        <w:rPr>
          <w:rFonts w:ascii="Calibri" w:cs="Calibri" w:eastAsia="Calibri" w:hAnsi="Calibri"/>
          <w:sz w:val="22"/>
          <w:szCs w:val="22"/>
        </w:rPr>
        <w:t xml:space="preserve">Mr John Smith was 73 years old, retired, in rented accommodation, with state pension as his sole earned income — topped up by means-tested Housing Benefit and Council Tax Support from Manchester City Council on low-income grounds — when he was placed into a six-year Individual Voluntary Arrangement (IVA) in September 2023 in respect of approximately £17,500 of unsecured consumer debt. He presented with multiple serious health vulnerabilities — a diagnosed heart condition, Type 2 diabetes, and ongoing mental health difficulties — and has no realisable assets.</w:t>
      </w:r>
    </w:p>
    <w:p>
      <w:pPr>
        <w:spacing w:after="120" w:before="0" w:line="300"/>
      </w:pPr>
      <w:r>
        <w:rPr>
          <w:rFonts w:ascii="Calibri" w:cs="Calibri" w:eastAsia="Calibri" w:hAnsi="Calibri"/>
          <w:sz w:val="22"/>
          <w:szCs w:val="22"/>
        </w:rPr>
        <w:t xml:space="preserve">On the evidence available to Speak For You, an IVA was not an appropriate solution for Mr Smith at inception and should not have been recommended to him. A Debt Relief Order (DRO) and straight Bankruptcy were each demonstrably more suitable alternatives that would have discharged his debts cleanly and without the £7,200+ he has subsequently paid into the arrangement.</w:t>
      </w:r>
    </w:p>
    <w:p>
      <w:pPr>
        <w:pStyle w:val="Heading3"/>
        <w:spacing w:after="100" w:before="200"/>
      </w:pPr>
      <w:r>
        <w:rPr>
          <w:rFonts w:ascii="Calibri" w:cs="Calibri" w:eastAsia="Calibri" w:hAnsi="Calibri"/>
          <w:b/>
          <w:bCs/>
          <w:color w:val="595959"/>
          <w:sz w:val="22"/>
          <w:szCs w:val="22"/>
        </w:rPr>
        <w:t xml:space="preserve">Headline findings</w:t>
      </w:r>
    </w:p>
    <w:p>
      <w:pPr>
        <w:pStyle w:val="ListParagraph"/>
        <w:numPr>
          <w:ilvl w:val="0"/>
          <w:numId w:val="2"/>
        </w:numPr>
        <w:spacing w:after="80" w:line="280"/>
      </w:pPr>
      <w:r>
        <w:rPr>
          <w:rFonts w:ascii="Calibri" w:cs="Calibri" w:eastAsia="Calibri" w:hAnsi="Calibri"/>
          <w:b/>
          <w:bCs/>
          <w:sz w:val="22"/>
          <w:szCs w:val="22"/>
        </w:rPr>
        <w:t xml:space="preserve">Unsuitable product placement — </w:t>
      </w:r>
      <w:r>
        <w:rPr>
          <w:rFonts w:ascii="Calibri" w:cs="Calibri" w:eastAsia="Calibri" w:hAnsi="Calibri"/>
          <w:sz w:val="22"/>
          <w:szCs w:val="22"/>
        </w:rPr>
        <w:t xml:space="preserve">Mr Smith met the qualifying criteria for a DRO at inception (debts under £50,000, no assets, no surplus income, state pension and means-tested benefits only). He also met the criteria for a straight Bankruptcy petition with likely suspension of the bankruptcy restrictions on vulnerability grounds.</w:t>
      </w:r>
    </w:p>
    <w:p>
      <w:pPr>
        <w:pStyle w:val="ListParagraph"/>
        <w:numPr>
          <w:ilvl w:val="0"/>
          <w:numId w:val="2"/>
        </w:numPr>
        <w:spacing w:after="80" w:line="280"/>
      </w:pPr>
      <w:r>
        <w:rPr>
          <w:rFonts w:ascii="Calibri" w:cs="Calibri" w:eastAsia="Calibri" w:hAnsi="Calibri"/>
          <w:b/>
          <w:bCs/>
          <w:sz w:val="22"/>
          <w:szCs w:val="22"/>
        </w:rPr>
        <w:t xml:space="preserve">Local authority low-income confirmation — </w:t>
      </w:r>
      <w:r>
        <w:rPr>
          <w:rFonts w:ascii="Calibri" w:cs="Calibri" w:eastAsia="Calibri" w:hAnsi="Calibri"/>
          <w:sz w:val="22"/>
          <w:szCs w:val="22"/>
        </w:rPr>
        <w:t xml:space="preserve">Manchester City Council's award of Housing Benefit and Council Tax Support is itself documentary evidence that Mr Smith's cash income is below the threshold at which he can meet basic housing and council tax costs unaided. That same cash income was the sole source of the £100 IVA contribution.</w:t>
      </w:r>
    </w:p>
    <w:p>
      <w:pPr>
        <w:pStyle w:val="ListParagraph"/>
        <w:numPr>
          <w:ilvl w:val="0"/>
          <w:numId w:val="2"/>
        </w:numPr>
        <w:spacing w:after="80" w:line="280"/>
      </w:pPr>
      <w:r>
        <w:rPr>
          <w:rFonts w:ascii="Calibri" w:cs="Calibri" w:eastAsia="Calibri" w:hAnsi="Calibri"/>
          <w:b/>
          <w:bCs/>
          <w:sz w:val="22"/>
          <w:szCs w:val="22"/>
        </w:rPr>
        <w:t xml:space="preserve">Vulnerable consumer — </w:t>
      </w:r>
      <w:r>
        <w:rPr>
          <w:rFonts w:ascii="Calibri" w:cs="Calibri" w:eastAsia="Calibri" w:hAnsi="Calibri"/>
          <w:sz w:val="22"/>
          <w:szCs w:val="22"/>
        </w:rPr>
        <w:t xml:space="preserve">Age 73, multiple long-term health conditions, and disclosed mental health issues constitute clear vulnerability indicators under FCA FG21/1 and the Consumer Duty. There is no evidence of enhanced vulnerability protocols being applied at the point of sale.</w:t>
      </w:r>
    </w:p>
    <w:p>
      <w:pPr>
        <w:pStyle w:val="ListParagraph"/>
        <w:numPr>
          <w:ilvl w:val="0"/>
          <w:numId w:val="2"/>
        </w:numPr>
        <w:spacing w:after="80" w:line="280"/>
      </w:pPr>
      <w:r>
        <w:rPr>
          <w:rFonts w:ascii="Calibri" w:cs="Calibri" w:eastAsia="Calibri" w:hAnsi="Calibri"/>
          <w:b/>
          <w:bCs/>
          <w:sz w:val="22"/>
          <w:szCs w:val="22"/>
        </w:rPr>
        <w:t xml:space="preserve">Affordability collapse was foreseeable — </w:t>
      </w:r>
      <w:r>
        <w:rPr>
          <w:rFonts w:ascii="Calibri" w:cs="Calibri" w:eastAsia="Calibri" w:hAnsi="Calibri"/>
          <w:sz w:val="22"/>
          <w:szCs w:val="22"/>
        </w:rPr>
        <w:t xml:space="preserve">With state pension as sole income and £100/month contracted contributions, the arrangement was unaffordable from day one and Mr Smith has reported repeated struggles meeting the payment.</w:t>
      </w:r>
    </w:p>
    <w:p>
      <w:pPr>
        <w:pStyle w:val="ListParagraph"/>
        <w:numPr>
          <w:ilvl w:val="0"/>
          <w:numId w:val="2"/>
        </w:numPr>
        <w:spacing w:after="80" w:line="280"/>
      </w:pPr>
      <w:r>
        <w:rPr>
          <w:rFonts w:ascii="Calibri" w:cs="Calibri" w:eastAsia="Calibri" w:hAnsi="Calibri"/>
          <w:b/>
          <w:bCs/>
          <w:sz w:val="22"/>
          <w:szCs w:val="22"/>
        </w:rPr>
        <w:t xml:space="preserve">Financial detriment quantified — </w:t>
      </w:r>
      <w:r>
        <w:rPr>
          <w:rFonts w:ascii="Calibri" w:cs="Calibri" w:eastAsia="Calibri" w:hAnsi="Calibri"/>
          <w:sz w:val="22"/>
          <w:szCs w:val="22"/>
        </w:rPr>
        <w:t xml:space="preserve">Approximately £3,100 paid to date (31 months × £100) with an estimated £1,860 retained in Nominee/Supervisor fees. Under a DRO at inception the fee would have been nil (DRO application fees were abolished in April 2024; pre-April 2024 the fee was £90).</w:t>
      </w:r>
    </w:p>
    <w:p>
      <w:pPr>
        <w:pStyle w:val="ListParagraph"/>
        <w:numPr>
          <w:ilvl w:val="0"/>
          <w:numId w:val="2"/>
        </w:numPr>
        <w:spacing w:after="80" w:line="280"/>
      </w:pPr>
      <w:r>
        <w:rPr>
          <w:rFonts w:ascii="Calibri" w:cs="Calibri" w:eastAsia="Calibri" w:hAnsi="Calibri"/>
          <w:b/>
          <w:bCs/>
          <w:sz w:val="22"/>
          <w:szCs w:val="22"/>
        </w:rPr>
        <w:t xml:space="preserve">Regulatory exposure — </w:t>
      </w:r>
      <w:r>
        <w:rPr>
          <w:rFonts w:ascii="Calibri" w:cs="Calibri" w:eastAsia="Calibri" w:hAnsi="Calibri"/>
          <w:sz w:val="22"/>
          <w:szCs w:val="22"/>
        </w:rPr>
        <w:t xml:space="preserve">SIP 3.1, IVA Protocol 2021, FCA Consumer Duty (PRIN 12), CONC, and the Equality Act 2010 are each engaged by the facts of this case.</w:t>
      </w:r>
    </w:p>
    <w:p>
      <w:pPr>
        <w:spacing w:after="120" w:before="0" w:line="300"/>
      </w:pPr>
      <w:r>
        <w:rPr>
          <w:rFonts w:ascii="Calibri" w:cs="Calibri" w:eastAsia="Calibri" w:hAnsi="Calibri"/>
          <w:sz w:val="22"/>
          <w:szCs w:val="22"/>
        </w:rPr>
        <w:t xml:space="preserve">Speak For You's recommendation is that Mr Smith's IVA be terminated without adverse consequence, that a complaint be lodged with the Insolvency Practitioner's regulatory body, and that a solicitor-led mis-selling claim be pursued for restitution of monies paid plus damages for distress and inconvenience.</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2. Client Profile &amp; Vulnerability Assessment</w:t>
      </w:r>
    </w:p>
    <w:p>
      <w:pPr>
        <w:pStyle w:val="Heading2"/>
        <w:spacing w:after="140" w:before="280"/>
      </w:pPr>
      <w:r>
        <w:rPr>
          <w:rFonts w:ascii="Calibri" w:cs="Calibri" w:eastAsia="Calibri" w:hAnsi="Calibri"/>
          <w:b/>
          <w:bCs/>
          <w:color w:val="0B2E4F"/>
          <w:sz w:val="26"/>
          <w:szCs w:val="26"/>
        </w:rPr>
        <w:t xml:space="preserve">2.1 Personal &amp; Household Circumstances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Attribute</w:t>
            </w:r>
          </w:p>
        </w:tc>
        <w:tc>
          <w:tcPr>
            <w:tcW w:type="dxa" w:w="616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Detail</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Full Name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Mr John Smith</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Address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21 Brown Street, Manchester, M44 6AP</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Age at Inception</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73</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Current Age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75 (approx.)</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Household Composition</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Single adult, living alone</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Housing Tenure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Private rented accommodation — no property owned</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Employment Status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Retired</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Sole Income Source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UK State Pension</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Means-Tested Support</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Housing Benefit (rent support) and Council Tax Support — both awarded by Manchester City Council on low-income grounds</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Assets of Realisable Value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None — no property, no vehicle, no investments, no equity</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Dependants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None</w:t>
            </w:r>
          </w:p>
        </w:tc>
      </w:tr>
    </w:tbl>
    <w:p>
      <w:pPr>
        <w:pStyle w:val="Heading2"/>
        <w:spacing w:after="140" w:before="280"/>
      </w:pPr>
      <w:r>
        <w:rPr>
          <w:rFonts w:ascii="Calibri" w:cs="Calibri" w:eastAsia="Calibri" w:hAnsi="Calibri"/>
          <w:b/>
          <w:bCs/>
          <w:color w:val="0B2E4F"/>
          <w:sz w:val="26"/>
          <w:szCs w:val="26"/>
        </w:rPr>
        <w:t xml:space="preserve">2.2 Vulnerability Indicators</w:t>
      </w:r>
    </w:p>
    <w:p>
      <w:pPr>
        <w:spacing w:after="120" w:before="0" w:line="300"/>
      </w:pPr>
      <w:r>
        <w:rPr>
          <w:rFonts w:ascii="Calibri" w:cs="Calibri" w:eastAsia="Calibri" w:hAnsi="Calibri"/>
          <w:sz w:val="22"/>
          <w:szCs w:val="22"/>
        </w:rPr>
        <w:t xml:space="preserve">The following vulnerability characteristics were present at the time Mr Smith was recommended an IVA. Under FCA FG21/1 (Guidance on the fair treatment of vulnerable customers), each of the following is an established driver of vulnerability:</w:t>
      </w:r>
    </w:p>
    <w:p>
      <w:pPr>
        <w:pStyle w:val="ListParagraph"/>
        <w:numPr>
          <w:ilvl w:val="0"/>
          <w:numId w:val="2"/>
        </w:numPr>
        <w:spacing w:after="80" w:line="280"/>
      </w:pPr>
      <w:r>
        <w:rPr>
          <w:rFonts w:ascii="Calibri" w:cs="Calibri" w:eastAsia="Calibri" w:hAnsi="Calibri"/>
          <w:b/>
          <w:bCs/>
          <w:sz w:val="22"/>
          <w:szCs w:val="22"/>
        </w:rPr>
        <w:t xml:space="preserve">Age — </w:t>
      </w:r>
      <w:r>
        <w:rPr>
          <w:rFonts w:ascii="Calibri" w:cs="Calibri" w:eastAsia="Calibri" w:hAnsi="Calibri"/>
          <w:sz w:val="22"/>
          <w:szCs w:val="22"/>
        </w:rPr>
        <w:t xml:space="preserve">73 at inception. The FCA and the Insolvency Practitioners Association treat advanced age as a vulnerability driver, particularly where it coincides with fixed retirement income and no realistic means of future earnings growth.</w:t>
      </w:r>
    </w:p>
    <w:p>
      <w:pPr>
        <w:pStyle w:val="ListParagraph"/>
        <w:numPr>
          <w:ilvl w:val="0"/>
          <w:numId w:val="2"/>
        </w:numPr>
        <w:spacing w:after="80" w:line="280"/>
      </w:pPr>
      <w:r>
        <w:rPr>
          <w:rFonts w:ascii="Calibri" w:cs="Calibri" w:eastAsia="Calibri" w:hAnsi="Calibri"/>
          <w:b/>
          <w:bCs/>
          <w:sz w:val="22"/>
          <w:szCs w:val="22"/>
        </w:rPr>
        <w:t xml:space="preserve">Health — cardiac condition — </w:t>
      </w:r>
      <w:r>
        <w:rPr>
          <w:rFonts w:ascii="Calibri" w:cs="Calibri" w:eastAsia="Calibri" w:hAnsi="Calibri"/>
          <w:sz w:val="22"/>
          <w:szCs w:val="22"/>
        </w:rPr>
        <w:t xml:space="preserve">A diagnosed heart condition represents a life-limiting illness and a significant physical health vulnerability.</w:t>
      </w:r>
    </w:p>
    <w:p>
      <w:pPr>
        <w:pStyle w:val="ListParagraph"/>
        <w:numPr>
          <w:ilvl w:val="0"/>
          <w:numId w:val="2"/>
        </w:numPr>
        <w:spacing w:after="80" w:line="280"/>
      </w:pPr>
      <w:r>
        <w:rPr>
          <w:rFonts w:ascii="Calibri" w:cs="Calibri" w:eastAsia="Calibri" w:hAnsi="Calibri"/>
          <w:b/>
          <w:bCs/>
          <w:sz w:val="22"/>
          <w:szCs w:val="22"/>
        </w:rPr>
        <w:t xml:space="preserve">Health — diabetes — </w:t>
      </w:r>
      <w:r>
        <w:rPr>
          <w:rFonts w:ascii="Calibri" w:cs="Calibri" w:eastAsia="Calibri" w:hAnsi="Calibri"/>
          <w:sz w:val="22"/>
          <w:szCs w:val="22"/>
        </w:rPr>
        <w:t xml:space="preserve">Type 2 diabetes requires ongoing medical management, increases essential expenditure (prescriptions, dietary needs), and represents a further physical health driver.</w:t>
      </w:r>
    </w:p>
    <w:p>
      <w:pPr>
        <w:pStyle w:val="ListParagraph"/>
        <w:numPr>
          <w:ilvl w:val="0"/>
          <w:numId w:val="2"/>
        </w:numPr>
        <w:spacing w:after="80" w:line="280"/>
      </w:pPr>
      <w:r>
        <w:rPr>
          <w:rFonts w:ascii="Calibri" w:cs="Calibri" w:eastAsia="Calibri" w:hAnsi="Calibri"/>
          <w:b/>
          <w:bCs/>
          <w:sz w:val="22"/>
          <w:szCs w:val="22"/>
        </w:rPr>
        <w:t xml:space="preserve">Mental health — </w:t>
      </w:r>
      <w:r>
        <w:rPr>
          <w:rFonts w:ascii="Calibri" w:cs="Calibri" w:eastAsia="Calibri" w:hAnsi="Calibri"/>
          <w:sz w:val="22"/>
          <w:szCs w:val="22"/>
        </w:rPr>
        <w:t xml:space="preserve">Mr Smith has disclosed ongoing mental health difficulties. Under the Mental Capacity Act 2005 and FCA guidance, this triggers heightened duties around comprehension of product terms, pressure at point of sale, and ongoing support needs.</w:t>
      </w:r>
    </w:p>
    <w:p>
      <w:pPr>
        <w:pStyle w:val="ListParagraph"/>
        <w:numPr>
          <w:ilvl w:val="0"/>
          <w:numId w:val="2"/>
        </w:numPr>
        <w:spacing w:after="80" w:line="280"/>
      </w:pPr>
      <w:r>
        <w:rPr>
          <w:rFonts w:ascii="Calibri" w:cs="Calibri" w:eastAsia="Calibri" w:hAnsi="Calibri"/>
          <w:b/>
          <w:bCs/>
          <w:sz w:val="22"/>
          <w:szCs w:val="22"/>
        </w:rPr>
        <w:t xml:space="preserve">Financial resilience — </w:t>
      </w:r>
      <w:r>
        <w:rPr>
          <w:rFonts w:ascii="Calibri" w:cs="Calibri" w:eastAsia="Calibri" w:hAnsi="Calibri"/>
          <w:sz w:val="22"/>
          <w:szCs w:val="22"/>
        </w:rPr>
        <w:t xml:space="preserve">State pension only, no savings, no capacity to absorb shocks. The FCA defines low financial resilience as a core vulnerability driver.</w:t>
      </w:r>
    </w:p>
    <w:p>
      <w:pPr>
        <w:pStyle w:val="ListParagraph"/>
        <w:numPr>
          <w:ilvl w:val="0"/>
          <w:numId w:val="2"/>
        </w:numPr>
        <w:spacing w:after="80" w:line="280"/>
      </w:pPr>
      <w:r>
        <w:rPr>
          <w:rFonts w:ascii="Calibri" w:cs="Calibri" w:eastAsia="Calibri" w:hAnsi="Calibri"/>
          <w:b/>
          <w:bCs/>
          <w:sz w:val="22"/>
          <w:szCs w:val="22"/>
        </w:rPr>
        <w:t xml:space="preserve">Life events — </w:t>
      </w:r>
      <w:r>
        <w:rPr>
          <w:rFonts w:ascii="Calibri" w:cs="Calibri" w:eastAsia="Calibri" w:hAnsi="Calibri"/>
          <w:sz w:val="22"/>
          <w:szCs w:val="22"/>
        </w:rPr>
        <w:t xml:space="preserve">Retirement and the transition onto a fixed income within recent years.</w:t>
      </w:r>
    </w:p>
    <w:p>
      <w:pPr>
        <w:spacing w:after="120" w:before="0" w:line="300"/>
      </w:pPr>
      <w:r>
        <w:rPr>
          <w:rFonts w:ascii="Calibri" w:cs="Calibri" w:eastAsia="Calibri" w:hAnsi="Calibri"/>
          <w:sz w:val="22"/>
          <w:szCs w:val="22"/>
        </w:rPr>
        <w:t xml:space="preserve">Speak For You assesses Mr Smith as presenting with at least four of the four FCA-recognised vulnerability drivers (health, life events, resilience, and capability linked to age/health). This constitutes the highest tier of consumer vulnerability.</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3. Debt Position &amp; IVA Terms at Inception</w:t>
      </w:r>
    </w:p>
    <w:p>
      <w:pPr>
        <w:pStyle w:val="Heading2"/>
        <w:spacing w:after="140" w:before="280"/>
      </w:pPr>
      <w:r>
        <w:rPr>
          <w:rFonts w:ascii="Calibri" w:cs="Calibri" w:eastAsia="Calibri" w:hAnsi="Calibri"/>
          <w:b/>
          <w:bCs/>
          <w:color w:val="0B2E4F"/>
          <w:sz w:val="26"/>
          <w:szCs w:val="26"/>
        </w:rPr>
        <w:t xml:space="preserve">3.1 Schedule of Debts</w:t>
      </w:r>
    </w:p>
    <w:p>
      <w:pPr>
        <w:spacing w:after="120" w:before="0" w:line="300"/>
      </w:pPr>
      <w:r>
        <w:rPr>
          <w:rFonts w:ascii="Calibri" w:cs="Calibri" w:eastAsia="Calibri" w:hAnsi="Calibri"/>
          <w:sz w:val="22"/>
          <w:szCs w:val="22"/>
        </w:rPr>
        <w:t xml:space="preserve">Approximate composition of the £17,500 unsecured debt portfolio at inception (September 2023):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2800"/>
        <w:gridCol w:w="1760"/>
        <w:gridCol w:w="2000"/>
      </w:tblGrid>
      <w:tr>
        <w:tc>
          <w:tcPr>
            <w:tcW w:type="dxa" w:w="28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Creditor</w:t>
            </w:r>
          </w:p>
        </w:tc>
        <w:tc>
          <w:tcPr>
            <w:tcW w:type="dxa" w:w="28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Facility Type</w:t>
            </w:r>
          </w:p>
        </w:tc>
        <w:tc>
          <w:tcPr>
            <w:tcW w:type="dxa" w:w="176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Balance (£)</w:t>
            </w:r>
          </w:p>
        </w:tc>
        <w:tc>
          <w:tcPr>
            <w:tcW w:type="dxa" w:w="20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Notes</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Barclaycard</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Credit Card</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4,800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Long-standing revolving balance</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Capital One</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Credit Card</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2,100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Subprime card</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NewDay / Aqua</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Credit Card</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1,650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Subprime card</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Vanquis</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Credit Card</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1,200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Subprime card</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Lloyds Bank</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Personal Loan</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6,400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Unsecured fixed-term loan</w:t>
            </w:r>
          </w:p>
        </w:tc>
      </w:tr>
      <w:tr>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Very / Shop Direct</w:t>
            </w:r>
          </w:p>
        </w:tc>
        <w:tc>
          <w:tcPr>
            <w:tcW w:type="dxa" w:w="2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Catalogue / Running Account</w:t>
            </w:r>
          </w:p>
        </w:tc>
        <w:tc>
          <w:tcPr>
            <w:tcW w:type="dxa" w:w="17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1,350</w:t>
            </w:r>
          </w:p>
        </w:tc>
        <w:tc>
          <w:tcPr>
            <w:tcW w:type="dxa" w:w="2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Mail-order credit</w:t>
            </w:r>
          </w:p>
        </w:tc>
      </w:tr>
      <w:tr>
        <w:tc>
          <w:tcPr>
            <w:tcW w:type="dxa" w:w="28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TOTAL</w:t>
            </w:r>
          </w:p>
        </w:tc>
        <w:tc>
          <w:tcPr>
            <w:tcW w:type="dxa" w:w="28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sz w:val="20"/>
                <w:szCs w:val="20"/>
              </w:rPr>
              <w:t xml:space="preserve"/>
            </w:r>
          </w:p>
        </w:tc>
        <w:tc>
          <w:tcPr>
            <w:tcW w:type="dxa" w:w="17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£17,500</w:t>
            </w:r>
          </w:p>
        </w:tc>
        <w:tc>
          <w:tcPr>
            <w:tcW w:type="dxa" w:w="20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sz w:val="20"/>
                <w:szCs w:val="20"/>
              </w:rPr>
              <w:t xml:space="preserve">All unsecured</w:t>
            </w:r>
          </w:p>
        </w:tc>
      </w:tr>
    </w:tbl>
    <w:p>
      <w:pPr>
        <w:spacing w:after="120" w:before="0" w:line="300"/>
      </w:pPr>
      <w:r>
        <w:rPr>
          <w:rFonts w:ascii="Calibri" w:cs="Calibri" w:eastAsia="Calibri" w:hAnsi="Calibri"/>
          <w:i/>
          <w:iCs/>
          <w:color w:val="595959"/>
          <w:sz w:val="22"/>
          <w:szCs w:val="22"/>
        </w:rPr>
        <w:t xml:space="preserve">Critical observation: every debt in the portfolio is unsecured consumer credit. There are no priority debts (no HMRC, no council tax, no magistrates' fines, no secured debt, no mortgage, no rent arrears, no utility arrears, no child maintenance). This composition is important — priority debts are a factor that can weigh against a DRO in certain circumstances, and their absence here strengthens the DRO case significantly.</w:t>
      </w:r>
    </w:p>
    <w:p>
      <w:pPr>
        <w:pStyle w:val="Heading2"/>
        <w:spacing w:after="140" w:before="280"/>
      </w:pPr>
      <w:r>
        <w:rPr>
          <w:rFonts w:ascii="Calibri" w:cs="Calibri" w:eastAsia="Calibri" w:hAnsi="Calibri"/>
          <w:b/>
          <w:bCs/>
          <w:color w:val="0B2E4F"/>
          <w:sz w:val="26"/>
          <w:szCs w:val="26"/>
        </w:rPr>
        <w:t xml:space="preserve">3.2 IVA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Term</w:t>
            </w:r>
          </w:p>
        </w:tc>
        <w:tc>
          <w:tcPr>
            <w:tcW w:type="dxa" w:w="616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Detail</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Commencement Date</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September 2023</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Duration</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72 months (6 years)</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Monthly Contribution</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£100</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Total Scheduled Contributions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£7,200 over the life of the arrangement</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Indicative Nominee/Supervisor Fees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Approximately £4,320 (estimated at 60% of contributions under typical IVA Protocol fee structures)</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Indicative Creditor Distribution</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Approximately £2,880 — representing approximately 16p in the £ on £17,500 of debt</w:t>
            </w:r>
          </w:p>
        </w:tc>
      </w:tr>
      <w:tr>
        <w:tc>
          <w:tcPr>
            <w:tcW w:type="dxa" w:w="3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Dividend to Creditors</w:t>
            </w:r>
          </w:p>
        </w:tc>
        <w:tc>
          <w:tcPr>
            <w:tcW w:type="dxa" w:w="6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Sub-20p in the £ — markedly low and a Protocol concern</w:t>
            </w:r>
          </w:p>
        </w:tc>
      </w:tr>
    </w:tbl>
    <w:p>
      <w:pPr>
        <w:spacing w:after="120" w:before="0" w:line="300"/>
      </w:pPr>
      <w:r>
        <w:rPr>
          <w:rFonts w:ascii="Calibri" w:cs="Calibri" w:eastAsia="Calibri" w:hAnsi="Calibri"/>
          <w:i/>
          <w:iCs/>
          <w:color w:val="595959"/>
          <w:sz w:val="22"/>
          <w:szCs w:val="22"/>
        </w:rPr>
        <w:t xml:space="preserve">A dividend forecast below 20p in the £ for creditors is, by itself, a material SIP 3.1 suitability concern. The Insolvency Service Protocol Standing Committee has repeatedly flagged low-dividend IVAs as a mis-selling risk category, particularly where simpler, free or lower-cost alternatives exist.</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4. Standard Financial Statement (SFS) Analysis</w:t>
      </w:r>
    </w:p>
    <w:p>
      <w:pPr>
        <w:spacing w:after="120" w:before="0" w:line="300"/>
      </w:pPr>
      <w:r>
        <w:rPr>
          <w:rFonts w:ascii="Calibri" w:cs="Calibri" w:eastAsia="Calibri" w:hAnsi="Calibri"/>
          <w:sz w:val="22"/>
          <w:szCs w:val="22"/>
        </w:rPr>
        <w:t xml:space="preserve">The following analysis applies the 2025 Standard Financial Statement guideline ceilings (+5%), adjusted for a single-adult household, to Mr Smith's actual circumstances. SFS ceilings are ceilings, not caps: where vulnerability, health or age justify higher expenditure, this is acceptable and must be considered.</w:t>
      </w:r>
    </w:p>
    <w:p>
      <w:pPr>
        <w:pStyle w:val="Heading2"/>
        <w:spacing w:after="140" w:before="280"/>
      </w:pPr>
      <w:r>
        <w:rPr>
          <w:rFonts w:ascii="Calibri" w:cs="Calibri" w:eastAsia="Calibri" w:hAnsi="Calibri"/>
          <w:b/>
          <w:bCs/>
          <w:color w:val="0B2E4F"/>
          <w:sz w:val="26"/>
          <w:szCs w:val="26"/>
        </w:rPr>
        <w:t xml:space="preserve">4.1 Income &amp; Means-Tested Support</w:t>
      </w:r>
    </w:p>
    <w:p>
      <w:pPr>
        <w:spacing w:after="120" w:before="0" w:line="300"/>
      </w:pPr>
      <w:r>
        <w:rPr>
          <w:rFonts w:ascii="Calibri" w:cs="Calibri" w:eastAsia="Calibri" w:hAnsi="Calibri"/>
          <w:sz w:val="22"/>
          <w:szCs w:val="22"/>
        </w:rPr>
        <w:t xml:space="preserve">Mr Smith's income position at inception is wholly protected — he receives means-tested Housing Benefit (rent support) and Council Tax Support from Manchester City Council, both awarded on the basis of low income. These awards are evidence from the local authority that Mr Smith's income is, by definition, below the minimum threshold at which he can meet basic housing and council tax costs without state assistance.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80"/>
        <w:gridCol w:w="3680"/>
      </w:tblGrid>
      <w:tr>
        <w:tc>
          <w:tcPr>
            <w:tcW w:type="dxa" w:w="5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Income Source</w:t>
            </w:r>
          </w:p>
        </w:tc>
        <w:tc>
          <w:tcPr>
            <w:tcW w:type="dxa" w:w="3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Monthly (£)</w:t>
            </w:r>
          </w:p>
        </w:tc>
      </w:tr>
      <w:tr>
        <w:tc>
          <w:tcPr>
            <w:tcW w:type="dxa" w:w="5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UK State Pension (full basic + additional, 2023 rate)</w:t>
            </w:r>
          </w:p>
        </w:tc>
        <w:tc>
          <w:tcPr>
            <w:tcW w:type="dxa" w:w="3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£815</w:t>
            </w:r>
          </w:p>
        </w:tc>
      </w:tr>
      <w:tr>
        <w:tc>
          <w:tcPr>
            <w:tcW w:type="dxa" w:w="5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Pension Credit (Guarantee and/or Savings Credit)</w:t>
            </w:r>
          </w:p>
        </w:tc>
        <w:tc>
          <w:tcPr>
            <w:tcW w:type="dxa" w:w="3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Variable — entitlement to be confirmed with DWP</w:t>
            </w:r>
          </w:p>
        </w:tc>
      </w:tr>
      <w:tr>
        <w:tc>
          <w:tcPr>
            <w:tcW w:type="dxa" w:w="5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Housing Benefit (rent support, paid by Manchester CC)</w:t>
            </w:r>
          </w:p>
        </w:tc>
        <w:tc>
          <w:tcPr>
            <w:tcW w:type="dxa" w:w="3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Substantially covers rent (restricted to LHA cap)</w:t>
            </w:r>
          </w:p>
        </w:tc>
      </w:tr>
      <w:tr>
        <w:tc>
          <w:tcPr>
            <w:tcW w:type="dxa" w:w="5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Council Tax Support (100% for pensioners on Pension Credit)</w:t>
            </w:r>
          </w:p>
        </w:tc>
        <w:tc>
          <w:tcPr>
            <w:tcW w:type="dxa" w:w="3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Reduces council tax liability to nil/near-nil</w:t>
            </w:r>
          </w:p>
        </w:tc>
      </w:tr>
      <w:tr>
        <w:tc>
          <w:tcPr>
            <w:tcW w:type="dxa" w:w="568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TOTAL CASH INCOME IN HAND</w:t>
            </w:r>
          </w:p>
        </w:tc>
        <w:tc>
          <w:tcPr>
            <w:tcW w:type="dxa" w:w="368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 £815 (pension only)</w:t>
            </w:r>
          </w:p>
        </w:tc>
      </w:tr>
    </w:tbl>
    <w:p>
      <w:pPr>
        <w:spacing w:after="120" w:before="0" w:line="300"/>
      </w:pPr>
      <w:r>
        <w:rPr>
          <w:rFonts w:ascii="Calibri" w:cs="Calibri" w:eastAsia="Calibri" w:hAnsi="Calibri"/>
          <w:b/>
          <w:bCs/>
          <w:color w:val="0B2E4F"/>
          <w:sz w:val="22"/>
          <w:szCs w:val="22"/>
        </w:rPr>
        <w:t xml:space="preserve">Critical suitability observation: Housing Benefit and Council Tax Support are means-tested, low-income welfare entitlements. Their award to Mr Smith by Manchester City Council is official, evidence-based confirmation that his cash income is insufficient to meet basic housing costs without state top-up. That same cash income was the sole source from which the IVA contribution was being drawn. An Insolvency Practitioner conducting a compliant SFS and SIP 3.1 suitability assessment at inception should have recognised — from the existence of these awards alone — that there was no genuine disposable income out of which an IVA contribution could be made.</w:t>
      </w:r>
    </w:p>
    <w:p>
      <w:pPr>
        <w:spacing w:after="120" w:before="0" w:line="300"/>
      </w:pPr>
      <w:r>
        <w:rPr>
          <w:rFonts w:ascii="Calibri" w:cs="Calibri" w:eastAsia="Calibri" w:hAnsi="Calibri"/>
          <w:i/>
          <w:iCs/>
          <w:color w:val="595959"/>
          <w:sz w:val="22"/>
          <w:szCs w:val="22"/>
        </w:rPr>
        <w:t xml:space="preserve">The existence of these means-tested awards is also directly relevant to DRO eligibility: Housing Benefit and Council Tax Support are precisely the kind of benefit-only income profile that DRO is designed to serve.</w:t>
      </w:r>
    </w:p>
    <w:p>
      <w:pPr>
        <w:pStyle w:val="Heading2"/>
        <w:spacing w:after="140" w:before="280"/>
      </w:pPr>
      <w:r>
        <w:rPr>
          <w:rFonts w:ascii="Calibri" w:cs="Calibri" w:eastAsia="Calibri" w:hAnsi="Calibri"/>
          <w:b/>
          <w:bCs/>
          <w:color w:val="0B2E4F"/>
          <w:sz w:val="26"/>
          <w:szCs w:val="26"/>
        </w:rPr>
        <w:t xml:space="preserve">4.2 Reasonable Expenditure — Single Adult, Age 73, with Health Vulnerabilities</w:t>
      </w:r>
    </w:p>
    <w:p>
      <w:pPr>
        <w:spacing w:after="120" w:before="0" w:line="300"/>
      </w:pPr>
      <w:r>
        <w:rPr>
          <w:rFonts w:ascii="Calibri" w:cs="Calibri" w:eastAsia="Calibri" w:hAnsi="Calibri"/>
          <w:sz w:val="22"/>
          <w:szCs w:val="22"/>
        </w:rPr>
        <w:t xml:space="preserve">Because Mr Smith receives Housing Benefit (rent support) and Council Tax Support, his rent and council tax liabilities are largely met by the local authority and fall outside the cash expenditure he must meet from his £815 pension. The SFS below therefore reflects expenditure that must actually be met from pension income. The 2025 SFS guideline ceilings (+5%) are applied on a single-adult basis, with health-adjusted categories flagged and uplifted to reflect cardiac, diabetic and mental-health needs: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800"/>
        <w:gridCol w:w="1680"/>
        <w:gridCol w:w="1680"/>
      </w:tblGrid>
      <w:tr>
        <w:tc>
          <w:tcPr>
            <w:tcW w:type="dxa" w:w="42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Category</w:t>
            </w:r>
          </w:p>
        </w:tc>
        <w:tc>
          <w:tcPr>
            <w:tcW w:type="dxa" w:w="180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SFS Ceiling (£)</w:t>
            </w:r>
          </w:p>
        </w:tc>
        <w:tc>
          <w:tcPr>
            <w:tcW w:type="dxa" w:w="1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Adjusted (£)</w:t>
            </w:r>
          </w:p>
        </w:tc>
        <w:tc>
          <w:tcPr>
            <w:tcW w:type="dxa" w:w="1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Notes</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Rent shortfall (any element not covered by Housing Benefit / LHA cap)</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Actual</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25</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Nominal top-up if LHA &lt; contract rent</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Council Tax (residual liability after CTS)</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Actual</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100% CTS for pensioner on Pension Credit</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Gas &amp; Electricity</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Actual</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140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Heating essential — cardiac</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Water</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Actual</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30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Food &amp; Housekeeping</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491</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430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Diabetic diet</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Personal Costs (toiletries, haircuts, prescriptions)</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105</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105</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Communications &amp; Leisure (phone, TV licence, broadband)</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251</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180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Transport (public, no car)</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80–180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60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Older Person's bus pass</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Clothing</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40–90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Health — ongoing condition (diabetic + cardiac)</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30–150+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80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Over-60 Rx free; equipment/monitoring</w:t>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Contents Insurance</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10–50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15</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Contingency</w:t>
            </w:r>
          </w:p>
        </w:tc>
        <w:tc>
          <w:tcPr>
            <w:tcW w:type="dxa" w:w="18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20–75</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40</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r>
        <w:tc>
          <w:tcPr>
            <w:tcW w:type="dxa" w:w="4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TOTAL CASH EXPENDITURE (excl. benefit-covered rent &amp; CT)</w:t>
            </w:r>
          </w:p>
        </w:tc>
        <w:tc>
          <w:tcPr>
            <w:tcW w:type="dxa" w:w="18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sz w:val="20"/>
                <w:szCs w:val="20"/>
              </w:rPr>
              <w:t xml:space="preserve"/>
            </w:r>
          </w:p>
        </w:tc>
        <w:tc>
          <w:tcPr>
            <w:tcW w:type="dxa" w:w="168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£1,145</w:t>
            </w:r>
          </w:p>
        </w:tc>
        <w:tc>
          <w:tcPr>
            <w:tcW w:type="dxa" w:w="168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sz w:val="20"/>
                <w:szCs w:val="20"/>
              </w:rPr>
              <w:t xml:space="preserve"/>
            </w:r>
          </w:p>
        </w:tc>
      </w:tr>
    </w:tbl>
    <w:p>
      <w:pPr>
        <w:pStyle w:val="Heading2"/>
        <w:spacing w:after="140" w:before="280"/>
      </w:pPr>
      <w:r>
        <w:rPr>
          <w:rFonts w:ascii="Calibri" w:cs="Calibri" w:eastAsia="Calibri" w:hAnsi="Calibri"/>
          <w:b/>
          <w:bCs/>
          <w:color w:val="0B2E4F"/>
          <w:sz w:val="26"/>
          <w:szCs w:val="26"/>
        </w:rPr>
        <w:t xml:space="preserve">4.3 Surplus Calculation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0"/>
        <w:gridCol w:w="3360"/>
      </w:tblGrid>
      <w:tr>
        <w:tc>
          <w:tcPr>
            <w:tcW w:type="dxa" w:w="60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Cash Income in Hand (State Pension)</w:t>
            </w:r>
          </w:p>
        </w:tc>
        <w:tc>
          <w:tcPr>
            <w:tcW w:type="dxa" w:w="33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£815</w:t>
            </w:r>
          </w:p>
        </w:tc>
      </w:tr>
      <w:tr>
        <w:tc>
          <w:tcPr>
            <w:tcW w:type="dxa" w:w="60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Reasonable Cash Expenditure (rent &amp; CT met by HB/CTS)</w:t>
            </w:r>
          </w:p>
        </w:tc>
        <w:tc>
          <w:tcPr>
            <w:tcW w:type="dxa" w:w="33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£1,145</w:t>
            </w:r>
          </w:p>
        </w:tc>
      </w:tr>
      <w:tr>
        <w:tc>
          <w:tcPr>
            <w:tcW w:type="dxa" w:w="60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MONTHLY SURPLUS / (DEFICIT)</w:t>
            </w:r>
          </w:p>
        </w:tc>
        <w:tc>
          <w:tcPr>
            <w:tcW w:type="dxa" w:w="33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color w:val="9C1B1B"/>
                <w:sz w:val="20"/>
                <w:szCs w:val="20"/>
              </w:rPr>
              <w:t xml:space="preserve">(£330) DEFICIT</w:t>
            </w:r>
          </w:p>
        </w:tc>
      </w:tr>
    </w:tbl>
    <w:p>
      <w:pPr>
        <w:spacing w:after="120" w:before="0" w:line="300"/>
      </w:pPr>
      <w:r>
        <w:rPr>
          <w:rFonts w:ascii="Calibri" w:cs="Calibri" w:eastAsia="Calibri" w:hAnsi="Calibri"/>
          <w:b/>
          <w:bCs/>
          <w:color w:val="9C1B1B"/>
          <w:sz w:val="22"/>
          <w:szCs w:val="22"/>
        </w:rPr>
        <w:t xml:space="preserve">Even after accounting for Housing Benefit and Council Tax Support covering the two largest non-discretionary lines, Mr Smith operates at a monthly cash deficit of approximately £330 once reasonable, health-adjusted living costs are met from his £815 pension. There is no genuine disposable income available for a £100 IVA contribution — every £100 paid into the IVA has been taken from food, heating, health management, or essential personal costs.</w:t>
      </w:r>
    </w:p>
    <w:p>
      <w:pPr>
        <w:spacing w:after="120" w:before="0" w:line="300"/>
      </w:pPr>
      <w:r>
        <w:rPr>
          <w:rFonts w:ascii="Calibri" w:cs="Calibri" w:eastAsia="Calibri" w:hAnsi="Calibri"/>
          <w:i/>
          <w:iCs/>
          <w:color w:val="595959"/>
          <w:sz w:val="22"/>
          <w:szCs w:val="22"/>
        </w:rPr>
        <w:t xml:space="preserve">The presence of Housing Benefit and Council Tax Support is, in fact, the decisive suitability factor here. A client whose essential housing costs must be subsidised by the local authority on the basis of insufficient income cannot simultaneously be said to have surplus income available to fund an IVA contribution. The award of these benefits by Manchester City Council is documentary, third-party evidence that the SFS used at inception cannot have been accurate.</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5. Solution Comparison — At Inception (September 2023)</w:t>
      </w:r>
    </w:p>
    <w:p>
      <w:pPr>
        <w:spacing w:after="120" w:before="0" w:line="300"/>
      </w:pPr>
      <w:r>
        <w:rPr>
          <w:rFonts w:ascii="Calibri" w:cs="Calibri" w:eastAsia="Calibri" w:hAnsi="Calibri"/>
          <w:sz w:val="22"/>
          <w:szCs w:val="22"/>
        </w:rPr>
        <w:t xml:space="preserve">The following is a forensic, client-first comparison of the debt solutions that were available to Mr Smith at the point the IVA was sold to him. Each is assessed against his actual circumstances rather than a generic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80"/>
        <w:gridCol w:w="1440"/>
        <w:gridCol w:w="1680"/>
        <w:gridCol w:w="1440"/>
        <w:gridCol w:w="3120"/>
      </w:tblGrid>
      <w:tr>
        <w:tc>
          <w:tcPr>
            <w:tcW w:type="dxa" w:w="1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Solution</w:t>
            </w:r>
          </w:p>
        </w:tc>
        <w:tc>
          <w:tcPr>
            <w:tcW w:type="dxa" w:w="144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Qualifying?</w:t>
            </w:r>
          </w:p>
        </w:tc>
        <w:tc>
          <w:tcPr>
            <w:tcW w:type="dxa" w:w="1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Cost to Client</w:t>
            </w:r>
          </w:p>
        </w:tc>
        <w:tc>
          <w:tcPr>
            <w:tcW w:type="dxa" w:w="144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Duration</w:t>
            </w:r>
          </w:p>
        </w:tc>
        <w:tc>
          <w:tcPr>
            <w:tcW w:type="dxa" w:w="312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Suitability for Mr Smith</w:t>
            </w:r>
          </w:p>
        </w:tc>
      </w:tr>
      <w:tr>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IVA (sold)</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9C1B1B"/>
                <w:sz w:val="20"/>
                <w:szCs w:val="20"/>
              </w:rPr>
              <w:t xml:space="preserve">Yes (technically)</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£7,200 over 6 years</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72 months</w:t>
            </w:r>
          </w:p>
        </w:tc>
        <w:tc>
          <w:tcPr>
            <w:tcW w:type="dxa" w:w="312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9C1B1B"/>
                <w:sz w:val="20"/>
                <w:szCs w:val="20"/>
              </w:rPr>
              <w:t xml:space="preserve">UNSUITABLE — locks vulnerable pensioner into 6 years of payments at an unaffordable level; extracts approx £4,320 in fees on a sub-20p dividend</w:t>
            </w:r>
          </w:p>
        </w:tc>
      </w:tr>
      <w:tr>
        <w:tc>
          <w:tcPr>
            <w:tcW w:type="dxa" w:w="1680"/>
            <w:tcBorders>
              <w:top w:val="single" w:color="BFBFBF" w:sz="4"/>
              <w:left w:val="single" w:color="BFBFBF" w:sz="4"/>
              <w:bottom w:val="single" w:color="BFBFBF" w:sz="4"/>
              <w:right w:val="single" w:color="BFBFBF" w:sz="4"/>
            </w:tcBorders>
            <w:shd w:fill="DFF0DB"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DRO</w:t>
            </w:r>
          </w:p>
        </w:tc>
        <w:tc>
          <w:tcPr>
            <w:tcW w:type="dxa" w:w="1440"/>
            <w:tcBorders>
              <w:top w:val="single" w:color="BFBFBF" w:sz="4"/>
              <w:left w:val="single" w:color="BFBFBF" w:sz="4"/>
              <w:bottom w:val="single" w:color="BFBFBF" w:sz="4"/>
              <w:right w:val="single" w:color="BFBFBF" w:sz="4"/>
            </w:tcBorders>
            <w:shd w:fill="DFF0DB" w:val="clear"/>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YES — fully qualified</w:t>
            </w:r>
          </w:p>
        </w:tc>
        <w:tc>
          <w:tcPr>
            <w:tcW w:type="dxa" w:w="1680"/>
            <w:tcBorders>
              <w:top w:val="single" w:color="BFBFBF" w:sz="4"/>
              <w:left w:val="single" w:color="BFBFBF" w:sz="4"/>
              <w:bottom w:val="single" w:color="BFBFBF" w:sz="4"/>
              <w:right w:val="single" w:color="BFBFBF" w:sz="4"/>
            </w:tcBorders>
            <w:shd w:fill="DFF0DB" w:val="clear"/>
            <w:tcMar>
              <w:top w:type="dxa" w:w="100"/>
              <w:left w:type="dxa" w:w="140"/>
              <w:bottom w:type="dxa" w:w="100"/>
              <w:right w:type="dxa" w:w="140"/>
            </w:tcMar>
          </w:tcPr>
          <w:p>
            <w:pPr>
              <w:spacing w:after="0" w:line="280"/>
            </w:pPr>
            <w:r>
              <w:rPr>
                <w:rFonts w:ascii="Calibri" w:cs="Calibri" w:eastAsia="Calibri" w:hAnsi="Calibri"/>
                <w:sz w:val="20"/>
                <w:szCs w:val="20"/>
              </w:rPr>
              <w:t xml:space="preserve">£90 in 2023; £0 from April 2024</w:t>
            </w:r>
          </w:p>
        </w:tc>
        <w:tc>
          <w:tcPr>
            <w:tcW w:type="dxa" w:w="1440"/>
            <w:tcBorders>
              <w:top w:val="single" w:color="BFBFBF" w:sz="4"/>
              <w:left w:val="single" w:color="BFBFBF" w:sz="4"/>
              <w:bottom w:val="single" w:color="BFBFBF" w:sz="4"/>
              <w:right w:val="single" w:color="BFBFBF" w:sz="4"/>
            </w:tcBorders>
            <w:shd w:fill="DFF0DB" w:val="clear"/>
            <w:tcMar>
              <w:top w:type="dxa" w:w="100"/>
              <w:left w:type="dxa" w:w="140"/>
              <w:bottom w:type="dxa" w:w="100"/>
              <w:right w:type="dxa" w:w="140"/>
            </w:tcMar>
          </w:tcPr>
          <w:p>
            <w:pPr>
              <w:spacing w:after="0" w:line="280"/>
            </w:pPr>
            <w:r>
              <w:rPr>
                <w:rFonts w:ascii="Calibri" w:cs="Calibri" w:eastAsia="Calibri" w:hAnsi="Calibri"/>
                <w:sz w:val="20"/>
                <w:szCs w:val="20"/>
              </w:rPr>
              <w:t xml:space="preserve">12 months</w:t>
            </w:r>
          </w:p>
        </w:tc>
        <w:tc>
          <w:tcPr>
            <w:tcW w:type="dxa" w:w="3120"/>
            <w:tcBorders>
              <w:top w:val="single" w:color="BFBFBF" w:sz="4"/>
              <w:left w:val="single" w:color="BFBFBF" w:sz="4"/>
              <w:bottom w:val="single" w:color="BFBFBF" w:sz="4"/>
              <w:right w:val="single" w:color="BFBFBF" w:sz="4"/>
            </w:tcBorders>
            <w:shd w:fill="DFF0DB" w:val="clear"/>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OPTIMAL — debts under £50,000, no assets, benefits/pension only, no surplus. Full discharge in 12 months.</w:t>
            </w:r>
          </w:p>
        </w:tc>
      </w:tr>
      <w:tr>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Bankruptcy</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1E6B3A"/>
                <w:sz w:val="20"/>
                <w:szCs w:val="20"/>
              </w:rPr>
              <w:t xml:space="preserve">Yes — qualifying</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£680 petition fee (possible remission; NHS Low Income Scheme / Help with Fees considerations)</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12 months</w:t>
            </w:r>
          </w:p>
        </w:tc>
        <w:tc>
          <w:tcPr>
            <w:tcW w:type="dxa" w:w="312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1E6B3A"/>
                <w:sz w:val="20"/>
                <w:szCs w:val="20"/>
              </w:rPr>
              <w:t xml:space="preserve">SUITABLE — no assets at risk, vulnerability grounds support the petition; discharged in 12 months. Secondary option to DRO.</w:t>
            </w:r>
          </w:p>
        </w:tc>
      </w:tr>
      <w:tr>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DMP</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9C1B1B"/>
                <w:sz w:val="20"/>
                <w:szCs w:val="20"/>
              </w:rPr>
              <w:t xml:space="preserve">Not suitable</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Variable</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Indefinite</w:t>
            </w:r>
          </w:p>
        </w:tc>
        <w:tc>
          <w:tcPr>
            <w:tcW w:type="dxa" w:w="312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color w:val="9C1B1B"/>
                <w:sz w:val="20"/>
                <w:szCs w:val="20"/>
              </w:rPr>
              <w:t xml:space="preserve">UNSUITABLE — would run well past Mr Smith's reasonable life expectancy with no guarantee of clearance; no genuine surplus available.</w:t>
            </w:r>
          </w:p>
        </w:tc>
      </w:tr>
      <w:tr>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Token payments</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Available</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Nominal (£1/creditor)</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Indefinite</w:t>
            </w:r>
          </w:p>
        </w:tc>
        <w:tc>
          <w:tcPr>
            <w:tcW w:type="dxa" w:w="312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Acceptable as interim holding position but inferior to DRO which produces full discharge.</w:t>
            </w:r>
          </w:p>
        </w:tc>
      </w:tr>
      <w:tr>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Write-off request (forbearance)</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Available</w:t>
            </w:r>
          </w:p>
        </w:tc>
        <w:tc>
          <w:tcPr>
            <w:tcW w:type="dxa" w:w="1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Nil</w:t>
            </w:r>
          </w:p>
        </w:tc>
        <w:tc>
          <w:tcPr>
            <w:tcW w:type="dxa" w:w="144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Variable</w:t>
            </w:r>
          </w:p>
        </w:tc>
        <w:tc>
          <w:tcPr>
            <w:tcW w:type="dxa" w:w="312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Worth pursuing on vulnerability grounds — creditors may write off on compassionate grounds given age, health and resilience.</w:t>
            </w:r>
          </w:p>
        </w:tc>
      </w:tr>
    </w:tbl>
    <w:p>
      <w:pPr>
        <w:pStyle w:val="Heading2"/>
        <w:spacing w:after="140" w:before="280"/>
      </w:pPr>
      <w:r>
        <w:rPr>
          <w:rFonts w:ascii="Calibri" w:cs="Calibri" w:eastAsia="Calibri" w:hAnsi="Calibri"/>
          <w:b/>
          <w:bCs/>
          <w:color w:val="0B2E4F"/>
          <w:sz w:val="26"/>
          <w:szCs w:val="26"/>
        </w:rPr>
        <w:t xml:space="preserve">5.1 DRO Qualifying Criteria — Mr Smith Met Every Test</w:t>
      </w:r>
    </w:p>
    <w:p>
      <w:pPr>
        <w:spacing w:after="120" w:before="0" w:line="300"/>
      </w:pPr>
      <w:r>
        <w:rPr>
          <w:rFonts w:ascii="Calibri" w:cs="Calibri" w:eastAsia="Calibri" w:hAnsi="Calibri"/>
          <w:sz w:val="22"/>
          <w:szCs w:val="22"/>
        </w:rPr>
        <w:t xml:space="preserve">As at September 2023 (pre-June 2024 threshold revision), the Debt Relief Order qualifying criteria and Mr Smith's position against each: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DRO Criterion (2023)</w:t>
            </w:r>
          </w:p>
        </w:tc>
        <w:tc>
          <w:tcPr>
            <w:tcW w:type="dxa" w:w="4680"/>
            <w:tcBorders>
              <w:top w:val="single" w:color="BFBFBF" w:sz="4"/>
              <w:left w:val="single" w:color="BFBFBF" w:sz="4"/>
              <w:bottom w:val="single" w:color="BFBFBF" w:sz="4"/>
              <w:right w:val="single" w:color="BFBFBF" w:sz="4"/>
            </w:tcBorders>
            <w:shd w:fill="0B2E4F" w:val="clear"/>
            <w:tcMar>
              <w:top w:type="dxa" w:w="100"/>
              <w:left w:type="dxa" w:w="140"/>
              <w:bottom w:type="dxa" w:w="100"/>
              <w:right w:type="dxa" w:w="140"/>
            </w:tcMar>
          </w:tcPr>
          <w:p>
            <w:pPr>
              <w:spacing w:after="0" w:line="280"/>
              <w:jc w:val="left"/>
            </w:pPr>
            <w:r>
              <w:rPr>
                <w:rFonts w:ascii="Calibri" w:cs="Calibri" w:eastAsia="Calibri" w:hAnsi="Calibri"/>
                <w:b/>
                <w:bCs/>
                <w:color w:val="FFFFFF"/>
                <w:sz w:val="20"/>
                <w:szCs w:val="20"/>
              </w:rPr>
              <w:t xml:space="preserve">Mr Smith's Position</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Total qualifying debts ≤ £30,000 (2023); increased to £50,000 from 28 June 2024</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£17,500 — clearly within threshold on either basis</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Surplus income ≤ £75 per month</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Nil genuine surplus — deficit after reasonable expenditure</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Total assets ≤ £2,000 (2023); increased to £2,000 unchanged but vehicle limit raised to £4,000 from June 2024</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No assets declared; no vehicle</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Resident in England or Wales</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Manchester — yes</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Not subject to existing formal insolvency</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None prior to the IVA being sold</w:t>
            </w:r>
          </w:p>
        </w:tc>
      </w:tr>
      <w:tr>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No DRO in previous 6 years</w:t>
            </w:r>
          </w:p>
        </w:tc>
        <w:tc>
          <w:tcPr>
            <w:tcW w:type="dxa" w:w="468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color w:val="1E6B3A"/>
                <w:sz w:val="20"/>
                <w:szCs w:val="20"/>
              </w:rPr>
              <w:t xml:space="preserve">None</w:t>
            </w:r>
          </w:p>
        </w:tc>
      </w:tr>
    </w:tbl>
    <w:p>
      <w:pPr>
        <w:spacing w:after="120" w:before="0" w:line="300"/>
      </w:pPr>
      <w:r>
        <w:rPr>
          <w:rFonts w:ascii="Calibri" w:cs="Calibri" w:eastAsia="Calibri" w:hAnsi="Calibri"/>
          <w:b/>
          <w:bCs/>
          <w:color w:val="0B2E4F"/>
          <w:sz w:val="22"/>
          <w:szCs w:val="22"/>
        </w:rPr>
        <w:t xml:space="preserve">Mr Smith satisfied every DRO qualifying test at inception. The failure to signpost him toward a DRO (or to refer him to an Approved Intermediary such as Citizens Advice, StepChange or Money Advice Plus) is the central suitability failing in this case.</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6. Regulatory &amp; Legal Framework Engaged</w:t>
      </w:r>
    </w:p>
    <w:p>
      <w:pPr>
        <w:spacing w:after="120" w:before="0" w:line="300"/>
      </w:pPr>
      <w:r>
        <w:rPr>
          <w:rFonts w:ascii="Calibri" w:cs="Calibri" w:eastAsia="Calibri" w:hAnsi="Calibri"/>
          <w:sz w:val="22"/>
          <w:szCs w:val="22"/>
        </w:rPr>
        <w:t xml:space="preserve">The conduct identified in this case engages several overlapping regulatory and statutory regimes. Each is summarised below with the specific provision most relevant to Mr Smith's circumstances.</w:t>
      </w:r>
    </w:p>
    <w:p>
      <w:pPr>
        <w:pStyle w:val="Heading2"/>
        <w:spacing w:after="140" w:before="280"/>
      </w:pPr>
      <w:r>
        <w:rPr>
          <w:rFonts w:ascii="Calibri" w:cs="Calibri" w:eastAsia="Calibri" w:hAnsi="Calibri"/>
          <w:b/>
          <w:bCs/>
          <w:color w:val="0B2E4F"/>
          <w:sz w:val="26"/>
          <w:szCs w:val="26"/>
        </w:rPr>
        <w:t xml:space="preserve">6.1 SIP 3.1 — Individual Voluntary Arrangements</w:t>
      </w:r>
    </w:p>
    <w:p>
      <w:pPr>
        <w:spacing w:after="120" w:before="0" w:line="300"/>
      </w:pPr>
      <w:r>
        <w:rPr>
          <w:rFonts w:ascii="Calibri" w:cs="Calibri" w:eastAsia="Calibri" w:hAnsi="Calibri"/>
          <w:sz w:val="22"/>
          <w:szCs w:val="22"/>
        </w:rPr>
        <w:t xml:space="preserve">Statement of Insolvency Practice 3.1 requires Insolvency Practitioners to advise on all available debt relief options and to recommend only a product that is objectively the most appropriate for the debtor's circumstances. Specific breaches apparent here:</w:t>
      </w:r>
    </w:p>
    <w:p>
      <w:pPr>
        <w:pStyle w:val="ListParagraph"/>
        <w:numPr>
          <w:ilvl w:val="0"/>
          <w:numId w:val="2"/>
        </w:numPr>
        <w:spacing w:after="80" w:line="280"/>
      </w:pPr>
      <w:r>
        <w:rPr>
          <w:rFonts w:ascii="Calibri" w:cs="Calibri" w:eastAsia="Calibri" w:hAnsi="Calibri"/>
          <w:sz w:val="22"/>
          <w:szCs w:val="22"/>
        </w:rPr>
        <w:t xml:space="preserve">Paragraph on alternatives: IP must advise on DRO, Bankruptcy, and informal arrangements. There is no evidence that a DRO referral was made despite clear eligibility.</w:t>
      </w:r>
    </w:p>
    <w:p>
      <w:pPr>
        <w:pStyle w:val="ListParagraph"/>
        <w:numPr>
          <w:ilvl w:val="0"/>
          <w:numId w:val="2"/>
        </w:numPr>
        <w:spacing w:after="80" w:line="280"/>
      </w:pPr>
      <w:r>
        <w:rPr>
          <w:rFonts w:ascii="Calibri" w:cs="Calibri" w:eastAsia="Calibri" w:hAnsi="Calibri"/>
          <w:sz w:val="22"/>
          <w:szCs w:val="22"/>
        </w:rPr>
        <w:t xml:space="preserve">Paragraph on suitability: IP must be satisfied the IVA is the most appropriate solution. A 6-year IVA producing sub-20p dividend on a client with no surplus and full DRO eligibility cannot satisfy this test.</w:t>
      </w:r>
    </w:p>
    <w:p>
      <w:pPr>
        <w:pStyle w:val="ListParagraph"/>
        <w:numPr>
          <w:ilvl w:val="0"/>
          <w:numId w:val="2"/>
        </w:numPr>
        <w:spacing w:after="80" w:line="280"/>
      </w:pPr>
      <w:r>
        <w:rPr>
          <w:rFonts w:ascii="Calibri" w:cs="Calibri" w:eastAsia="Calibri" w:hAnsi="Calibri"/>
          <w:sz w:val="22"/>
          <w:szCs w:val="22"/>
        </w:rPr>
        <w:t xml:space="preserve">Paragraph on vulnerability: IP must take account of vulnerability. A 73-year-old with heart disease, diabetes and mental health issues is a textbook vulnerable consumer.</w:t>
      </w:r>
    </w:p>
    <w:p>
      <w:pPr>
        <w:pStyle w:val="Heading2"/>
        <w:spacing w:after="140" w:before="280"/>
      </w:pPr>
      <w:r>
        <w:rPr>
          <w:rFonts w:ascii="Calibri" w:cs="Calibri" w:eastAsia="Calibri" w:hAnsi="Calibri"/>
          <w:b/>
          <w:bCs/>
          <w:color w:val="0B2E4F"/>
          <w:sz w:val="26"/>
          <w:szCs w:val="26"/>
        </w:rPr>
        <w:t xml:space="preserve">6.2 IVA Protocol 2021</w:t>
      </w:r>
    </w:p>
    <w:p>
      <w:pPr>
        <w:spacing w:after="120" w:before="0" w:line="300"/>
      </w:pPr>
      <w:r>
        <w:rPr>
          <w:rFonts w:ascii="Calibri" w:cs="Calibri" w:eastAsia="Calibri" w:hAnsi="Calibri"/>
          <w:sz w:val="22"/>
          <w:szCs w:val="22"/>
        </w:rPr>
        <w:t xml:space="preserve">The Protocol is a voluntary framework for straightforward consumer IVAs and encodes good practice. Relevant paragraphs:</w:t>
      </w:r>
    </w:p>
    <w:p>
      <w:pPr>
        <w:pStyle w:val="ListParagraph"/>
        <w:numPr>
          <w:ilvl w:val="0"/>
          <w:numId w:val="2"/>
        </w:numPr>
        <w:spacing w:after="80" w:line="280"/>
      </w:pPr>
      <w:r>
        <w:rPr>
          <w:rFonts w:ascii="Calibri" w:cs="Calibri" w:eastAsia="Calibri" w:hAnsi="Calibri"/>
          <w:sz w:val="22"/>
          <w:szCs w:val="22"/>
        </w:rPr>
        <w:t xml:space="preserve">Protocol requires that debtors with benefits/pension-only income and no realistic prospect of future earnings increase should be assessed carefully, with DRO and Bankruptcy expressly considered as primary alternatives.</w:t>
      </w:r>
    </w:p>
    <w:p>
      <w:pPr>
        <w:pStyle w:val="ListParagraph"/>
        <w:numPr>
          <w:ilvl w:val="0"/>
          <w:numId w:val="2"/>
        </w:numPr>
        <w:spacing w:after="80" w:line="280"/>
      </w:pPr>
      <w:r>
        <w:rPr>
          <w:rFonts w:ascii="Calibri" w:cs="Calibri" w:eastAsia="Calibri" w:hAnsi="Calibri"/>
          <w:sz w:val="22"/>
          <w:szCs w:val="22"/>
        </w:rPr>
        <w:t xml:space="preserve">Protocol contemplates a minimum realistic return to creditors — sub-20p dividends are a flagged risk category.</w:t>
      </w:r>
    </w:p>
    <w:p>
      <w:pPr>
        <w:pStyle w:val="ListParagraph"/>
        <w:numPr>
          <w:ilvl w:val="0"/>
          <w:numId w:val="2"/>
        </w:numPr>
        <w:spacing w:after="80" w:line="280"/>
      </w:pPr>
      <w:r>
        <w:rPr>
          <w:rFonts w:ascii="Calibri" w:cs="Calibri" w:eastAsia="Calibri" w:hAnsi="Calibri"/>
          <w:sz w:val="22"/>
          <w:szCs w:val="22"/>
        </w:rPr>
        <w:t xml:space="preserve">Where the arrangement is built on token or de minimis contributions from fixed income only, Protocol suitability is doubtful.</w:t>
      </w:r>
    </w:p>
    <w:p>
      <w:pPr>
        <w:pStyle w:val="Heading2"/>
        <w:spacing w:after="140" w:before="280"/>
      </w:pPr>
      <w:r>
        <w:rPr>
          <w:rFonts w:ascii="Calibri" w:cs="Calibri" w:eastAsia="Calibri" w:hAnsi="Calibri"/>
          <w:b/>
          <w:bCs/>
          <w:color w:val="0B2E4F"/>
          <w:sz w:val="26"/>
          <w:szCs w:val="26"/>
        </w:rPr>
        <w:t xml:space="preserve">6.3 FCA Consumer Duty (PRIN 12) and FG21/1</w:t>
      </w:r>
    </w:p>
    <w:p>
      <w:pPr>
        <w:spacing w:after="120" w:before="0" w:line="300"/>
      </w:pPr>
      <w:r>
        <w:rPr>
          <w:rFonts w:ascii="Calibri" w:cs="Calibri" w:eastAsia="Calibri" w:hAnsi="Calibri"/>
          <w:sz w:val="22"/>
          <w:szCs w:val="22"/>
        </w:rPr>
        <w:t xml:space="preserve">While Insolvency Practitioners are not directly FCA-regulated, any introducer, lead generator or marketing channel that fed Mr Smith into the IVA will be FCA-regulated under CONC 8 (debt counselling/debt adjusting) or the claims management regime. Consumer Duty outcomes engaged:</w:t>
      </w:r>
    </w:p>
    <w:p>
      <w:pPr>
        <w:pStyle w:val="ListParagraph"/>
        <w:numPr>
          <w:ilvl w:val="0"/>
          <w:numId w:val="2"/>
        </w:numPr>
        <w:spacing w:after="80" w:line="280"/>
      </w:pPr>
      <w:r>
        <w:rPr>
          <w:rFonts w:ascii="Calibri" w:cs="Calibri" w:eastAsia="Calibri" w:hAnsi="Calibri"/>
          <w:sz w:val="22"/>
          <w:szCs w:val="22"/>
        </w:rPr>
        <w:t xml:space="preserve">Products and Services — the IVA was not designed for or appropriate to Mr Smith's circumstances.</w:t>
      </w:r>
    </w:p>
    <w:p>
      <w:pPr>
        <w:pStyle w:val="ListParagraph"/>
        <w:numPr>
          <w:ilvl w:val="0"/>
          <w:numId w:val="2"/>
        </w:numPr>
        <w:spacing w:after="80" w:line="280"/>
      </w:pPr>
      <w:r>
        <w:rPr>
          <w:rFonts w:ascii="Calibri" w:cs="Calibri" w:eastAsia="Calibri" w:hAnsi="Calibri"/>
          <w:sz w:val="22"/>
          <w:szCs w:val="22"/>
        </w:rPr>
        <w:t xml:space="preserve">Price and Value — £4,320 of fees extracted on a £17,500 debt for a sub-20p return represents poor value.</w:t>
      </w:r>
    </w:p>
    <w:p>
      <w:pPr>
        <w:pStyle w:val="ListParagraph"/>
        <w:numPr>
          <w:ilvl w:val="0"/>
          <w:numId w:val="2"/>
        </w:numPr>
        <w:spacing w:after="80" w:line="280"/>
      </w:pPr>
      <w:r>
        <w:rPr>
          <w:rFonts w:ascii="Calibri" w:cs="Calibri" w:eastAsia="Calibri" w:hAnsi="Calibri"/>
          <w:sz w:val="22"/>
          <w:szCs w:val="22"/>
        </w:rPr>
        <w:t xml:space="preserve">Consumer Understanding — there is no evidence of comprehension checks given the disclosed mental health vulnerability.</w:t>
      </w:r>
    </w:p>
    <w:p>
      <w:pPr>
        <w:pStyle w:val="ListParagraph"/>
        <w:numPr>
          <w:ilvl w:val="0"/>
          <w:numId w:val="2"/>
        </w:numPr>
        <w:spacing w:after="80" w:line="280"/>
      </w:pPr>
      <w:r>
        <w:rPr>
          <w:rFonts w:ascii="Calibri" w:cs="Calibri" w:eastAsia="Calibri" w:hAnsi="Calibri"/>
          <w:sz w:val="22"/>
          <w:szCs w:val="22"/>
        </w:rPr>
        <w:t xml:space="preserve">Consumer Support — the arrangement has caused distress and struggle with payments, with no evidence of proactive support or revisitation of suitability.</w:t>
      </w:r>
    </w:p>
    <w:p>
      <w:pPr>
        <w:pStyle w:val="Heading2"/>
        <w:spacing w:after="140" w:before="280"/>
      </w:pPr>
      <w:r>
        <w:rPr>
          <w:rFonts w:ascii="Calibri" w:cs="Calibri" w:eastAsia="Calibri" w:hAnsi="Calibri"/>
          <w:b/>
          <w:bCs/>
          <w:color w:val="0B2E4F"/>
          <w:sz w:val="26"/>
          <w:szCs w:val="26"/>
        </w:rPr>
        <w:t xml:space="preserve">6.4 Equality Act 2010</w:t>
      </w:r>
    </w:p>
    <w:p>
      <w:pPr>
        <w:spacing w:after="120" w:before="0" w:line="300"/>
      </w:pPr>
      <w:r>
        <w:rPr>
          <w:rFonts w:ascii="Calibri" w:cs="Calibri" w:eastAsia="Calibri" w:hAnsi="Calibri"/>
          <w:sz w:val="22"/>
          <w:szCs w:val="22"/>
        </w:rPr>
        <w:t xml:space="preserve">Mr Smith's diabetes, cardiac condition and mental health issues are each likely to constitute disabilities under s.6 of the Equality Act. Service providers owe a duty to make reasonable adjustments and not to treat disabled consumers less favourably. Selling a long-term, unaffordable financial product to a disabled pensioner where a free alternative was available raises a clear Equality Act concern.</w:t>
      </w:r>
    </w:p>
    <w:p>
      <w:pPr>
        <w:pStyle w:val="Heading2"/>
        <w:spacing w:after="140" w:before="280"/>
      </w:pPr>
      <w:r>
        <w:rPr>
          <w:rFonts w:ascii="Calibri" w:cs="Calibri" w:eastAsia="Calibri" w:hAnsi="Calibri"/>
          <w:b/>
          <w:bCs/>
          <w:color w:val="0B2E4F"/>
          <w:sz w:val="26"/>
          <w:szCs w:val="26"/>
        </w:rPr>
        <w:t xml:space="preserve">6.5 Mental Capacity Act 2005</w:t>
      </w:r>
    </w:p>
    <w:p>
      <w:pPr>
        <w:spacing w:after="120" w:before="0" w:line="300"/>
      </w:pPr>
      <w:r>
        <w:rPr>
          <w:rFonts w:ascii="Calibri" w:cs="Calibri" w:eastAsia="Calibri" w:hAnsi="Calibri"/>
          <w:sz w:val="22"/>
          <w:szCs w:val="22"/>
        </w:rPr>
        <w:t xml:space="preserve">s.2(1) MCA 2005 — a person lacks capacity in relation to a matter if at the material time he is unable to make a decision for himself because of an impairment of, or a disturbance in the functioning of, the mind. Where mental health difficulties are disclosed at point of sale, the IP and introducer are on notice and are obliged to take reasonable steps to satisfy themselves that the client understood the nature and consequences of a 6-year IVA versus the available alternatives.</w:t>
      </w:r>
    </w:p>
    <w:p>
      <w:pPr>
        <w:pStyle w:val="Heading2"/>
        <w:spacing w:after="140" w:before="280"/>
      </w:pPr>
      <w:r>
        <w:rPr>
          <w:rFonts w:ascii="Calibri" w:cs="Calibri" w:eastAsia="Calibri" w:hAnsi="Calibri"/>
          <w:b/>
          <w:bCs/>
          <w:color w:val="0B2E4F"/>
          <w:sz w:val="26"/>
          <w:szCs w:val="26"/>
        </w:rPr>
        <w:t xml:space="preserve">6.6 Limitation Act 1980</w:t>
      </w:r>
    </w:p>
    <w:p>
      <w:pPr>
        <w:spacing w:after="120" w:before="0" w:line="300"/>
      </w:pPr>
      <w:r>
        <w:rPr>
          <w:rFonts w:ascii="Calibri" w:cs="Calibri" w:eastAsia="Calibri" w:hAnsi="Calibri"/>
          <w:sz w:val="22"/>
          <w:szCs w:val="22"/>
        </w:rPr>
        <w:t xml:space="preserve">Most unsecured consumer debts become statute-barred 6 years after the last acknowledgement or payment (s.5). A portfolio of older credit card balances and a loan should have been reviewed at inception for enforceability — statute-barred debts should not be included in an IVA proposal without disclosure.</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7. Insolvency Practitioner — Regulatory History Search</w:t>
      </w:r>
    </w:p>
    <w:p>
      <w:pPr>
        <w:spacing w:after="120" w:before="0" w:line="300"/>
      </w:pPr>
      <w:r>
        <w:rPr>
          <w:rFonts w:ascii="Calibri" w:cs="Calibri" w:eastAsia="Calibri" w:hAnsi="Calibri"/>
          <w:sz w:val="22"/>
          <w:szCs w:val="22"/>
        </w:rPr>
        <w:t xml:space="preserve">For this sample report, the Insolvency Practitioner and the IVA provider have not been named. In a live case, Speak For You conducts the following searches and records the findings in full:</w:t>
      </w:r>
    </w:p>
    <w:p>
      <w:pPr>
        <w:pStyle w:val="ListParagraph"/>
        <w:numPr>
          <w:ilvl w:val="0"/>
          <w:numId w:val="2"/>
        </w:numPr>
        <w:spacing w:after="80" w:line="280"/>
      </w:pPr>
      <w:r>
        <w:rPr>
          <w:rFonts w:ascii="Calibri" w:cs="Calibri" w:eastAsia="Calibri" w:hAnsi="Calibri"/>
          <w:b/>
          <w:bCs/>
          <w:sz w:val="22"/>
          <w:szCs w:val="22"/>
        </w:rPr>
        <w:t xml:space="preserve">Insolvency Practitioners Association (IPA) register — </w:t>
      </w:r>
      <w:r>
        <w:rPr>
          <w:rFonts w:ascii="Calibri" w:cs="Calibri" w:eastAsia="Calibri" w:hAnsi="Calibri"/>
          <w:sz w:val="22"/>
          <w:szCs w:val="22"/>
        </w:rPr>
        <w:t xml:space="preserve">confirms licence status, any published disciplinary findings, conditions on licence, and dates of sanction.</w:t>
      </w:r>
    </w:p>
    <w:p>
      <w:pPr>
        <w:pStyle w:val="ListParagraph"/>
        <w:numPr>
          <w:ilvl w:val="0"/>
          <w:numId w:val="2"/>
        </w:numPr>
        <w:spacing w:after="80" w:line="280"/>
      </w:pPr>
      <w:r>
        <w:rPr>
          <w:rFonts w:ascii="Calibri" w:cs="Calibri" w:eastAsia="Calibri" w:hAnsi="Calibri"/>
          <w:b/>
          <w:bCs/>
          <w:sz w:val="22"/>
          <w:szCs w:val="22"/>
        </w:rPr>
        <w:t xml:space="preserve">Insolvency Service Complaints Gateway and ICAEW/IPA regulatory bulletins — </w:t>
      </w:r>
      <w:r>
        <w:rPr>
          <w:rFonts w:ascii="Calibri" w:cs="Calibri" w:eastAsia="Calibri" w:hAnsi="Calibri"/>
          <w:sz w:val="22"/>
          <w:szCs w:val="22"/>
        </w:rPr>
        <w:t xml:space="preserve">identifies any Insolvency Service investigation, enforcement outcomes, and public-interest findings against the IP or their firm.</w:t>
      </w:r>
    </w:p>
    <w:p>
      <w:pPr>
        <w:pStyle w:val="ListParagraph"/>
        <w:numPr>
          <w:ilvl w:val="0"/>
          <w:numId w:val="2"/>
        </w:numPr>
        <w:spacing w:after="80" w:line="280"/>
      </w:pPr>
      <w:r>
        <w:rPr>
          <w:rFonts w:ascii="Calibri" w:cs="Calibri" w:eastAsia="Calibri" w:hAnsi="Calibri"/>
          <w:b/>
          <w:bCs/>
          <w:sz w:val="22"/>
          <w:szCs w:val="22"/>
        </w:rPr>
        <w:t xml:space="preserve">FCA Financial Services Register — </w:t>
      </w:r>
      <w:r>
        <w:rPr>
          <w:rFonts w:ascii="Calibri" w:cs="Calibri" w:eastAsia="Calibri" w:hAnsi="Calibri"/>
          <w:sz w:val="22"/>
          <w:szCs w:val="22"/>
        </w:rPr>
        <w:t xml:space="preserve">where the IVA provider or any associated lead generator holds CONC authorisation, identifies authorisation scope, supervisory action, s.166 orders, and any Final Notices.</w:t>
      </w:r>
    </w:p>
    <w:p>
      <w:pPr>
        <w:pStyle w:val="ListParagraph"/>
        <w:numPr>
          <w:ilvl w:val="0"/>
          <w:numId w:val="2"/>
        </w:numPr>
        <w:spacing w:after="80" w:line="280"/>
      </w:pPr>
      <w:r>
        <w:rPr>
          <w:rFonts w:ascii="Calibri" w:cs="Calibri" w:eastAsia="Calibri" w:hAnsi="Calibri"/>
          <w:b/>
          <w:bCs/>
          <w:sz w:val="22"/>
          <w:szCs w:val="22"/>
        </w:rPr>
        <w:t xml:space="preserve">Companies House — </w:t>
      </w:r>
      <w:r>
        <w:rPr>
          <w:rFonts w:ascii="Calibri" w:cs="Calibri" w:eastAsia="Calibri" w:hAnsi="Calibri"/>
          <w:sz w:val="22"/>
          <w:szCs w:val="22"/>
        </w:rPr>
        <w:t xml:space="preserve">identifies the corporate structure, directorships, changes of control, filed accounts, and any related dissolved entities that may signal phoenix activity or regulatory evasion.</w:t>
      </w:r>
    </w:p>
    <w:p>
      <w:pPr>
        <w:pStyle w:val="ListParagraph"/>
        <w:numPr>
          <w:ilvl w:val="0"/>
          <w:numId w:val="2"/>
        </w:numPr>
        <w:spacing w:after="80" w:line="280"/>
      </w:pPr>
      <w:r>
        <w:rPr>
          <w:rFonts w:ascii="Calibri" w:cs="Calibri" w:eastAsia="Calibri" w:hAnsi="Calibri"/>
          <w:b/>
          <w:bCs/>
          <w:sz w:val="22"/>
          <w:szCs w:val="22"/>
        </w:rPr>
        <w:t xml:space="preserve">The Gazette, BAILII and Insolvency Service press notices — </w:t>
      </w:r>
      <w:r>
        <w:rPr>
          <w:rFonts w:ascii="Calibri" w:cs="Calibri" w:eastAsia="Calibri" w:hAnsi="Calibri"/>
          <w:sz w:val="22"/>
          <w:szCs w:val="22"/>
        </w:rPr>
        <w:t xml:space="preserve">identifies any public disciplinary or enforcement action.</w:t>
      </w:r>
    </w:p>
    <w:p>
      <w:pPr>
        <w:pStyle w:val="ListParagraph"/>
        <w:numPr>
          <w:ilvl w:val="0"/>
          <w:numId w:val="2"/>
        </w:numPr>
        <w:spacing w:after="80" w:line="280"/>
      </w:pPr>
      <w:r>
        <w:rPr>
          <w:rFonts w:ascii="Calibri" w:cs="Calibri" w:eastAsia="Calibri" w:hAnsi="Calibri"/>
          <w:b/>
          <w:bCs/>
          <w:sz w:val="22"/>
          <w:szCs w:val="22"/>
        </w:rPr>
        <w:t xml:space="preserve">Public consumer reporting — </w:t>
      </w:r>
      <w:r>
        <w:rPr>
          <w:rFonts w:ascii="Calibri" w:cs="Calibri" w:eastAsia="Calibri" w:hAnsi="Calibri"/>
          <w:sz w:val="22"/>
          <w:szCs w:val="22"/>
        </w:rPr>
        <w:t xml:space="preserve">Trustpilot, MoneySavingExpert, All About Debt forums, and national press coverage — identifies pattern evidence of mis-selling.</w:t>
      </w:r>
    </w:p>
    <w:p>
      <w:pPr>
        <w:spacing w:after="120" w:before="0" w:line="300"/>
      </w:pPr>
      <w:r>
        <w:rPr>
          <w:rFonts w:ascii="Calibri" w:cs="Calibri" w:eastAsia="Calibri" w:hAnsi="Calibri"/>
          <w:i/>
          <w:iCs/>
          <w:color w:val="595959"/>
          <w:sz w:val="22"/>
          <w:szCs w:val="22"/>
        </w:rPr>
        <w:t xml:space="preserve">In every live Speak For You review, this block is populated with named findings and hyperlinked sources. Where adverse regulatory history is identified, it materially strengthens both the complaint and the solicitor-led legal claim.</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8. Quantification of Financial Detriment</w:t>
      </w:r>
    </w:p>
    <w:p>
      <w:pPr>
        <w:spacing w:after="120" w:before="0" w:line="300"/>
      </w:pPr>
      <w:r>
        <w:rPr>
          <w:rFonts w:ascii="Calibri" w:cs="Calibri" w:eastAsia="Calibri" w:hAnsi="Calibri"/>
          <w:sz w:val="22"/>
          <w:szCs w:val="22"/>
        </w:rPr>
        <w:t xml:space="preserve">The measurable financial detriment Mr Smith has suffered by being placed in an IVA rather than signposted to a DRO is calculated on the following basis:</w:t>
      </w:r>
    </w:p>
    <w:p>
      <w:pPr>
        <w:pStyle w:val="Heading2"/>
        <w:spacing w:after="140" w:before="280"/>
      </w:pPr>
      <w:r>
        <w:rPr>
          <w:rFonts w:ascii="Calibri" w:cs="Calibri" w:eastAsia="Calibri" w:hAnsi="Calibri"/>
          <w:b/>
          <w:bCs/>
          <w:color w:val="0B2E4F"/>
          <w:sz w:val="26"/>
          <w:szCs w:val="26"/>
        </w:rPr>
        <w:t xml:space="preserve">8.1 Paid to Date (September 2023 → April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c>
          <w:tcPr>
            <w:tcW w:type="dxa" w:w="5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Period elapsed</w:t>
            </w:r>
          </w:p>
        </w:tc>
        <w:tc>
          <w:tcPr>
            <w:tcW w:type="dxa" w:w="41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31 months</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Contracted monthly contribution</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£100</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b/>
                <w:bCs/>
                <w:sz w:val="20"/>
                <w:szCs w:val="20"/>
              </w:rPr>
              <w:t xml:space="preserve">Approximate total paid (subject to payment history confirmation)</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£3,100</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Indicative Nominee/Supervisor fees extracted (60% of contributions)</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£1,860</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Indicative distributed to creditors</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£1,240</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Original debt balance</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£17,500</w:t>
            </w:r>
          </w:p>
        </w:tc>
      </w:tr>
      <w:tr>
        <w:tc>
          <w:tcPr>
            <w:tcW w:type="dxa" w:w="5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Approximate balance remaining</w:t>
            </w:r>
          </w:p>
        </w:tc>
        <w:tc>
          <w:tcPr>
            <w:tcW w:type="dxa" w:w="41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sz w:val="20"/>
                <w:szCs w:val="20"/>
              </w:rPr>
              <w:t xml:space="preserve">£16,260</w:t>
            </w:r>
          </w:p>
        </w:tc>
      </w:tr>
    </w:tbl>
    <w:p>
      <w:pPr>
        <w:pStyle w:val="Heading2"/>
        <w:spacing w:after="140" w:before="280"/>
      </w:pPr>
      <w:r>
        <w:rPr>
          <w:rFonts w:ascii="Calibri" w:cs="Calibri" w:eastAsia="Calibri" w:hAnsi="Calibri"/>
          <w:b/>
          <w:bCs/>
          <w:color w:val="0B2E4F"/>
          <w:sz w:val="26"/>
          <w:szCs w:val="26"/>
        </w:rPr>
        <w:t xml:space="preserve">8.2 Counterfactual — Had a DRO Been Recommended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0"/>
        <w:gridCol w:w="4160"/>
      </w:tblGrid>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Application fee (September 2023)</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£90</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Application fee (from April 2024)</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£0 (abolished)</w:t>
            </w:r>
          </w:p>
        </w:tc>
      </w:tr>
      <w:tr>
        <w:tc>
          <w:tcPr>
            <w:tcW w:type="dxa" w:w="520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pPr>
            <w:r>
              <w:rPr>
                <w:rFonts w:ascii="Calibri" w:cs="Calibri" w:eastAsia="Calibri" w:hAnsi="Calibri"/>
                <w:sz w:val="20"/>
                <w:szCs w:val="20"/>
              </w:rPr>
              <w:t xml:space="preserve">Duration before discharge</w:t>
            </w:r>
          </w:p>
        </w:tc>
        <w:tc>
          <w:tcPr>
            <w:tcW w:type="dxa" w:w="4160"/>
            <w:tcBorders>
              <w:top w:val="single" w:color="BFBFBF" w:sz="4"/>
              <w:left w:val="single" w:color="BFBFBF" w:sz="4"/>
              <w:bottom w:val="single" w:color="BFBFBF" w:sz="4"/>
              <w:right w:val="single" w:color="BFBFBF" w:sz="4"/>
            </w:tcBorders>
            <w:tcMar>
              <w:top w:type="dxa" w:w="100"/>
              <w:left w:type="dxa" w:w="140"/>
              <w:bottom w:type="dxa" w:w="100"/>
              <w:right w:type="dxa" w:w="140"/>
            </w:tcMar>
          </w:tcPr>
          <w:p>
            <w:pPr>
              <w:spacing w:after="0" w:line="280"/>
              <w:jc w:val="right"/>
            </w:pPr>
            <w:r>
              <w:rPr>
                <w:rFonts w:ascii="Calibri" w:cs="Calibri" w:eastAsia="Calibri" w:hAnsi="Calibri"/>
                <w:sz w:val="20"/>
                <w:szCs w:val="20"/>
              </w:rPr>
              <w:t xml:space="preserve">12 months</w:t>
            </w:r>
          </w:p>
        </w:tc>
      </w:tr>
      <w:tr>
        <w:tc>
          <w:tcPr>
            <w:tcW w:type="dxa" w:w="520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pPr>
            <w:r>
              <w:rPr>
                <w:rFonts w:ascii="Calibri" w:cs="Calibri" w:eastAsia="Calibri" w:hAnsi="Calibri"/>
                <w:b/>
                <w:bCs/>
                <w:sz w:val="20"/>
                <w:szCs w:val="20"/>
              </w:rPr>
              <w:t xml:space="preserve">Status as at April 2026</w:t>
            </w:r>
          </w:p>
        </w:tc>
        <w:tc>
          <w:tcPr>
            <w:tcW w:type="dxa" w:w="4160"/>
            <w:tcBorders>
              <w:top w:val="single" w:color="BFBFBF" w:sz="4"/>
              <w:left w:val="single" w:color="BFBFBF" w:sz="4"/>
              <w:bottom w:val="single" w:color="BFBFBF" w:sz="4"/>
              <w:right w:val="single" w:color="BFBFBF" w:sz="4"/>
            </w:tcBorders>
            <w:shd w:fill="EEF2F6" w:val="clear"/>
            <w:tcMar>
              <w:top w:type="dxa" w:w="100"/>
              <w:left w:type="dxa" w:w="140"/>
              <w:bottom w:type="dxa" w:w="100"/>
              <w:right w:type="dxa" w:w="140"/>
            </w:tcMar>
          </w:tcPr>
          <w:p>
            <w:pPr>
              <w:spacing w:after="0" w:line="280"/>
              <w:jc w:val="right"/>
            </w:pPr>
            <w:r>
              <w:rPr>
                <w:rFonts w:ascii="Calibri" w:cs="Calibri" w:eastAsia="Calibri" w:hAnsi="Calibri"/>
                <w:b/>
                <w:bCs/>
                <w:color w:val="1E6B3A"/>
                <w:sz w:val="20"/>
                <w:szCs w:val="20"/>
              </w:rPr>
              <w:t xml:space="preserve">Debt-free since September 2024</w:t>
            </w:r>
          </w:p>
        </w:tc>
      </w:tr>
    </w:tbl>
    <w:p>
      <w:pPr>
        <w:pStyle w:val="Heading2"/>
        <w:spacing w:after="140" w:before="280"/>
      </w:pPr>
      <w:r>
        <w:rPr>
          <w:rFonts w:ascii="Calibri" w:cs="Calibri" w:eastAsia="Calibri" w:hAnsi="Calibri"/>
          <w:b/>
          <w:bCs/>
          <w:color w:val="0B2E4F"/>
          <w:sz w:val="26"/>
          <w:szCs w:val="26"/>
        </w:rPr>
        <w:t xml:space="preserve">8.3 Heads of Loss</w:t>
      </w:r>
    </w:p>
    <w:p>
      <w:pPr>
        <w:pStyle w:val="ListParagraph"/>
        <w:numPr>
          <w:ilvl w:val="0"/>
          <w:numId w:val="2"/>
        </w:numPr>
        <w:spacing w:after="80" w:line="280"/>
      </w:pPr>
      <w:r>
        <w:rPr>
          <w:rFonts w:ascii="Calibri" w:cs="Calibri" w:eastAsia="Calibri" w:hAnsi="Calibri"/>
          <w:b/>
          <w:bCs/>
          <w:sz w:val="22"/>
          <w:szCs w:val="22"/>
        </w:rPr>
        <w:t xml:space="preserve">Restitution of contributions paid — </w:t>
      </w:r>
      <w:r>
        <w:rPr>
          <w:rFonts w:ascii="Calibri" w:cs="Calibri" w:eastAsia="Calibri" w:hAnsi="Calibri"/>
          <w:sz w:val="22"/>
          <w:szCs w:val="22"/>
        </w:rPr>
        <w:t xml:space="preserve">approximately £3,100 paid into an arrangement that should never have been recommended. Arguably recoverable in full from the IP and/or introducer on a mis-selling claim, subject to solicitor view.</w:t>
      </w:r>
    </w:p>
    <w:p>
      <w:pPr>
        <w:pStyle w:val="ListParagraph"/>
        <w:numPr>
          <w:ilvl w:val="0"/>
          <w:numId w:val="2"/>
        </w:numPr>
        <w:spacing w:after="80" w:line="280"/>
      </w:pPr>
      <w:r>
        <w:rPr>
          <w:rFonts w:ascii="Calibri" w:cs="Calibri" w:eastAsia="Calibri" w:hAnsi="Calibri"/>
          <w:b/>
          <w:bCs/>
          <w:sz w:val="22"/>
          <w:szCs w:val="22"/>
        </w:rPr>
        <w:t xml:space="preserve">Fee extraction — </w:t>
      </w:r>
      <w:r>
        <w:rPr>
          <w:rFonts w:ascii="Calibri" w:cs="Calibri" w:eastAsia="Calibri" w:hAnsi="Calibri"/>
          <w:sz w:val="22"/>
          <w:szCs w:val="22"/>
        </w:rPr>
        <w:t xml:space="preserve">approximately £1,860 in Nominee/Supervisor fees. This is the primary beneficiary of the unsuitable product placement.</w:t>
      </w:r>
    </w:p>
    <w:p>
      <w:pPr>
        <w:pStyle w:val="ListParagraph"/>
        <w:numPr>
          <w:ilvl w:val="0"/>
          <w:numId w:val="2"/>
        </w:numPr>
        <w:spacing w:after="80" w:line="280"/>
      </w:pPr>
      <w:r>
        <w:rPr>
          <w:rFonts w:ascii="Calibri" w:cs="Calibri" w:eastAsia="Calibri" w:hAnsi="Calibri"/>
          <w:b/>
          <w:bCs/>
          <w:sz w:val="22"/>
          <w:szCs w:val="22"/>
        </w:rPr>
        <w:t xml:space="preserve">Interest and lost opportunity — </w:t>
      </w:r>
      <w:r>
        <w:rPr>
          <w:rFonts w:ascii="Calibri" w:cs="Calibri" w:eastAsia="Calibri" w:hAnsi="Calibri"/>
          <w:sz w:val="22"/>
          <w:szCs w:val="22"/>
        </w:rPr>
        <w:t xml:space="preserve">had the £3,100 remained with Mr Smith, it would have covered essential needs over a period of strained affordability.</w:t>
      </w:r>
    </w:p>
    <w:p>
      <w:pPr>
        <w:pStyle w:val="ListParagraph"/>
        <w:numPr>
          <w:ilvl w:val="0"/>
          <w:numId w:val="2"/>
        </w:numPr>
        <w:spacing w:after="80" w:line="280"/>
      </w:pPr>
      <w:r>
        <w:rPr>
          <w:rFonts w:ascii="Calibri" w:cs="Calibri" w:eastAsia="Calibri" w:hAnsi="Calibri"/>
          <w:b/>
          <w:bCs/>
          <w:sz w:val="22"/>
          <w:szCs w:val="22"/>
        </w:rPr>
        <w:t xml:space="preserve">Distress, inconvenience and harm to mental health — </w:t>
      </w:r>
      <w:r>
        <w:rPr>
          <w:rFonts w:ascii="Calibri" w:cs="Calibri" w:eastAsia="Calibri" w:hAnsi="Calibri"/>
          <w:sz w:val="22"/>
          <w:szCs w:val="22"/>
        </w:rPr>
        <w:t xml:space="preserve">31 months of unaffordable payments, documented struggle with payments, and aggravation of pre-existing mental health vulnerability. Damages for distress are recoverable in well-pleaded consumer claims (see e.g. the Durkin and AXA General Insurance line of consumer-duty / misrepresentation authority in appropriate variation).</w:t>
      </w:r>
    </w:p>
    <w:p>
      <w:pPr>
        <w:pStyle w:val="ListParagraph"/>
        <w:numPr>
          <w:ilvl w:val="0"/>
          <w:numId w:val="2"/>
        </w:numPr>
        <w:spacing w:after="80" w:line="280"/>
      </w:pPr>
      <w:r>
        <w:rPr>
          <w:rFonts w:ascii="Calibri" w:cs="Calibri" w:eastAsia="Calibri" w:hAnsi="Calibri"/>
          <w:b/>
          <w:bCs/>
          <w:sz w:val="22"/>
          <w:szCs w:val="22"/>
        </w:rPr>
        <w:t xml:space="preserve">Credit file detriment — </w:t>
      </w:r>
      <w:r>
        <w:rPr>
          <w:rFonts w:ascii="Calibri" w:cs="Calibri" w:eastAsia="Calibri" w:hAnsi="Calibri"/>
          <w:sz w:val="22"/>
          <w:szCs w:val="22"/>
        </w:rPr>
        <w:t xml:space="preserve">a DRO or Bankruptcy entered in September 2023 would have been discharged in September 2024 and fallen off the credit file 6 years from registration. The IVA has kept Mr Smith on the Individual Insolvency Register and on adverse credit files for significantly longer.</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9. Solicitor Referral &amp; Mis-selling Claim Recommendation</w:t>
      </w:r>
    </w:p>
    <w:p>
      <w:pPr>
        <w:spacing w:after="120" w:before="0" w:line="300"/>
      </w:pPr>
      <w:r>
        <w:rPr>
          <w:rFonts w:ascii="Calibri" w:cs="Calibri" w:eastAsia="Calibri" w:hAnsi="Calibri"/>
          <w:sz w:val="22"/>
          <w:szCs w:val="22"/>
        </w:rPr>
        <w:t xml:space="preserve">Speak For You's recommendation is that Mr Smith's case be referred to a solicitor firm specialising in IVA mis-selling for a formal pre-action letter and, if unresolved, the issuing of proceedings.</w:t>
      </w:r>
    </w:p>
    <w:p>
      <w:pPr>
        <w:pStyle w:val="Heading2"/>
        <w:spacing w:after="140" w:before="280"/>
      </w:pPr>
      <w:r>
        <w:rPr>
          <w:rFonts w:ascii="Calibri" w:cs="Calibri" w:eastAsia="Calibri" w:hAnsi="Calibri"/>
          <w:b/>
          <w:bCs/>
          <w:color w:val="0B2E4F"/>
          <w:sz w:val="26"/>
          <w:szCs w:val="26"/>
        </w:rPr>
        <w:t xml:space="preserve">9.1 Causes of Action</w:t>
      </w:r>
    </w:p>
    <w:p>
      <w:pPr>
        <w:pStyle w:val="ListParagraph"/>
        <w:numPr>
          <w:ilvl w:val="0"/>
          <w:numId w:val="2"/>
        </w:numPr>
        <w:spacing w:after="80" w:line="280"/>
      </w:pPr>
      <w:r>
        <w:rPr>
          <w:rFonts w:ascii="Calibri" w:cs="Calibri" w:eastAsia="Calibri" w:hAnsi="Calibri"/>
          <w:b/>
          <w:bCs/>
          <w:sz w:val="22"/>
          <w:szCs w:val="22"/>
        </w:rPr>
        <w:t xml:space="preserve">Negligent misstatement / professional negligence — </w:t>
      </w:r>
      <w:r>
        <w:rPr>
          <w:rFonts w:ascii="Calibri" w:cs="Calibri" w:eastAsia="Calibri" w:hAnsi="Calibri"/>
          <w:sz w:val="22"/>
          <w:szCs w:val="22"/>
        </w:rPr>
        <w:t xml:space="preserve">against the IP and firm, for failure to advise on and signpost to a DRO where Mr Smith clearly qualified. The duty of care is well established (Hedley Byrne v Heller; Caparo Industries v Dickman principles applied to IP suitability advice).</w:t>
      </w:r>
    </w:p>
    <w:p>
      <w:pPr>
        <w:pStyle w:val="ListParagraph"/>
        <w:numPr>
          <w:ilvl w:val="0"/>
          <w:numId w:val="2"/>
        </w:numPr>
        <w:spacing w:after="80" w:line="280"/>
      </w:pPr>
      <w:r>
        <w:rPr>
          <w:rFonts w:ascii="Calibri" w:cs="Calibri" w:eastAsia="Calibri" w:hAnsi="Calibri"/>
          <w:b/>
          <w:bCs/>
          <w:sz w:val="22"/>
          <w:szCs w:val="22"/>
        </w:rPr>
        <w:t xml:space="preserve">Breach of statutory duty — </w:t>
      </w:r>
      <w:r>
        <w:rPr>
          <w:rFonts w:ascii="Calibri" w:cs="Calibri" w:eastAsia="Calibri" w:hAnsi="Calibri"/>
          <w:sz w:val="22"/>
          <w:szCs w:val="22"/>
        </w:rPr>
        <w:t xml:space="preserve">where an FCA-authorised introducer was involved, claims under s.138D FSMA 2000 for breach of Consumer Duty and CONC may be available.</w:t>
      </w:r>
    </w:p>
    <w:p>
      <w:pPr>
        <w:pStyle w:val="ListParagraph"/>
        <w:numPr>
          <w:ilvl w:val="0"/>
          <w:numId w:val="2"/>
        </w:numPr>
        <w:spacing w:after="80" w:line="280"/>
      </w:pPr>
      <w:r>
        <w:rPr>
          <w:rFonts w:ascii="Calibri" w:cs="Calibri" w:eastAsia="Calibri" w:hAnsi="Calibri"/>
          <w:b/>
          <w:bCs/>
          <w:sz w:val="22"/>
          <w:szCs w:val="22"/>
        </w:rPr>
        <w:t xml:space="preserve">Misrepresentation — </w:t>
      </w:r>
      <w:r>
        <w:rPr>
          <w:rFonts w:ascii="Calibri" w:cs="Calibri" w:eastAsia="Calibri" w:hAnsi="Calibri"/>
          <w:sz w:val="22"/>
          <w:szCs w:val="22"/>
        </w:rPr>
        <w:t xml:space="preserve">section 2(1) Misrepresentation Act 1967 — if the suitability of the IVA or the availability of a DRO was misrepresented at point of sale.</w:t>
      </w:r>
    </w:p>
    <w:p>
      <w:pPr>
        <w:pStyle w:val="ListParagraph"/>
        <w:numPr>
          <w:ilvl w:val="0"/>
          <w:numId w:val="2"/>
        </w:numPr>
        <w:spacing w:after="80" w:line="280"/>
      </w:pPr>
      <w:r>
        <w:rPr>
          <w:rFonts w:ascii="Calibri" w:cs="Calibri" w:eastAsia="Calibri" w:hAnsi="Calibri"/>
          <w:b/>
          <w:bCs/>
          <w:sz w:val="22"/>
          <w:szCs w:val="22"/>
        </w:rPr>
        <w:t xml:space="preserve">Unfair relationships — </w:t>
      </w:r>
      <w:r>
        <w:rPr>
          <w:rFonts w:ascii="Calibri" w:cs="Calibri" w:eastAsia="Calibri" w:hAnsi="Calibri"/>
          <w:sz w:val="22"/>
          <w:szCs w:val="22"/>
        </w:rPr>
        <w:t xml:space="preserve">Consumer Credit Act 1974 s.140A — available against the introducing creditor or lender where the relationship is unfair by reason of the way the credit was placed into an IVA.</w:t>
      </w:r>
    </w:p>
    <w:p>
      <w:pPr>
        <w:pStyle w:val="ListParagraph"/>
        <w:numPr>
          <w:ilvl w:val="0"/>
          <w:numId w:val="2"/>
        </w:numPr>
        <w:spacing w:after="80" w:line="280"/>
      </w:pPr>
      <w:r>
        <w:rPr>
          <w:rFonts w:ascii="Calibri" w:cs="Calibri" w:eastAsia="Calibri" w:hAnsi="Calibri"/>
          <w:b/>
          <w:bCs/>
          <w:sz w:val="22"/>
          <w:szCs w:val="22"/>
        </w:rPr>
        <w:t xml:space="preserve">Equality Act 2010 claims — </w:t>
      </w:r>
      <w:r>
        <w:rPr>
          <w:rFonts w:ascii="Calibri" w:cs="Calibri" w:eastAsia="Calibri" w:hAnsi="Calibri"/>
          <w:sz w:val="22"/>
          <w:szCs w:val="22"/>
        </w:rPr>
        <w:t xml:space="preserve">disability discrimination and failure to make reasonable adjustments.</w:t>
      </w:r>
    </w:p>
    <w:p>
      <w:pPr>
        <w:pStyle w:val="Heading2"/>
        <w:spacing w:after="140" w:before="280"/>
      </w:pPr>
      <w:r>
        <w:rPr>
          <w:rFonts w:ascii="Calibri" w:cs="Calibri" w:eastAsia="Calibri" w:hAnsi="Calibri"/>
          <w:b/>
          <w:bCs/>
          <w:color w:val="0B2E4F"/>
          <w:sz w:val="26"/>
          <w:szCs w:val="26"/>
        </w:rPr>
        <w:t xml:space="preserve">9.2 Relief Sought</w:t>
      </w:r>
    </w:p>
    <w:p>
      <w:pPr>
        <w:pStyle w:val="ListParagraph"/>
        <w:numPr>
          <w:ilvl w:val="0"/>
          <w:numId w:val="2"/>
        </w:numPr>
        <w:spacing w:after="80" w:line="280"/>
      </w:pPr>
      <w:r>
        <w:rPr>
          <w:rFonts w:ascii="Calibri" w:cs="Calibri" w:eastAsia="Calibri" w:hAnsi="Calibri"/>
          <w:sz w:val="22"/>
          <w:szCs w:val="22"/>
        </w:rPr>
        <w:t xml:space="preserve">Termination of the IVA without adverse effect.</w:t>
      </w:r>
    </w:p>
    <w:p>
      <w:pPr>
        <w:pStyle w:val="ListParagraph"/>
        <w:numPr>
          <w:ilvl w:val="0"/>
          <w:numId w:val="2"/>
        </w:numPr>
        <w:spacing w:after="80" w:line="280"/>
      </w:pPr>
      <w:r>
        <w:rPr>
          <w:rFonts w:ascii="Calibri" w:cs="Calibri" w:eastAsia="Calibri" w:hAnsi="Calibri"/>
          <w:sz w:val="22"/>
          <w:szCs w:val="22"/>
        </w:rPr>
        <w:t xml:space="preserve">Full restitution of contributions paid (approx £3,100).</w:t>
      </w:r>
    </w:p>
    <w:p>
      <w:pPr>
        <w:pStyle w:val="ListParagraph"/>
        <w:numPr>
          <w:ilvl w:val="0"/>
          <w:numId w:val="2"/>
        </w:numPr>
        <w:spacing w:after="80" w:line="280"/>
      </w:pPr>
      <w:r>
        <w:rPr>
          <w:rFonts w:ascii="Calibri" w:cs="Calibri" w:eastAsia="Calibri" w:hAnsi="Calibri"/>
          <w:sz w:val="22"/>
          <w:szCs w:val="22"/>
        </w:rPr>
        <w:t xml:space="preserve">Repayment of Nominee/Supervisor fees extracted (approx £1,860).</w:t>
      </w:r>
    </w:p>
    <w:p>
      <w:pPr>
        <w:pStyle w:val="ListParagraph"/>
        <w:numPr>
          <w:ilvl w:val="0"/>
          <w:numId w:val="2"/>
        </w:numPr>
        <w:spacing w:after="80" w:line="280"/>
      </w:pPr>
      <w:r>
        <w:rPr>
          <w:rFonts w:ascii="Calibri" w:cs="Calibri" w:eastAsia="Calibri" w:hAnsi="Calibri"/>
          <w:sz w:val="22"/>
          <w:szCs w:val="22"/>
        </w:rPr>
        <w:t xml:space="preserve">Damages for distress, inconvenience, and aggravation of mental health (quantum to be particularised).</w:t>
      </w:r>
    </w:p>
    <w:p>
      <w:pPr>
        <w:pStyle w:val="ListParagraph"/>
        <w:numPr>
          <w:ilvl w:val="0"/>
          <w:numId w:val="2"/>
        </w:numPr>
        <w:spacing w:after="80" w:line="280"/>
      </w:pPr>
      <w:r>
        <w:rPr>
          <w:rFonts w:ascii="Calibri" w:cs="Calibri" w:eastAsia="Calibri" w:hAnsi="Calibri"/>
          <w:sz w:val="22"/>
          <w:szCs w:val="22"/>
        </w:rPr>
        <w:t xml:space="preserve">A declaration that the IVA was mis-sold.</w:t>
      </w:r>
    </w:p>
    <w:p>
      <w:pPr>
        <w:pStyle w:val="ListParagraph"/>
        <w:numPr>
          <w:ilvl w:val="0"/>
          <w:numId w:val="2"/>
        </w:numPr>
        <w:spacing w:after="80" w:line="280"/>
      </w:pPr>
      <w:r>
        <w:rPr>
          <w:rFonts w:ascii="Calibri" w:cs="Calibri" w:eastAsia="Calibri" w:hAnsi="Calibri"/>
          <w:sz w:val="22"/>
          <w:szCs w:val="22"/>
        </w:rPr>
        <w:t xml:space="preserve">Costs on the indemnity basis.</w:t>
      </w:r>
    </w:p>
    <w:p>
      <w:pPr>
        <w:pStyle w:val="Heading2"/>
        <w:spacing w:after="140" w:before="280"/>
      </w:pPr>
      <w:r>
        <w:rPr>
          <w:rFonts w:ascii="Calibri" w:cs="Calibri" w:eastAsia="Calibri" w:hAnsi="Calibri"/>
          <w:b/>
          <w:bCs/>
          <w:color w:val="0B2E4F"/>
          <w:sz w:val="26"/>
          <w:szCs w:val="26"/>
        </w:rPr>
        <w:t xml:space="preserve">9.3 Limitation</w:t>
      </w:r>
    </w:p>
    <w:p>
      <w:pPr>
        <w:spacing w:after="120" w:before="0" w:line="300"/>
      </w:pPr>
      <w:r>
        <w:rPr>
          <w:rFonts w:ascii="Calibri" w:cs="Calibri" w:eastAsia="Calibri" w:hAnsi="Calibri"/>
          <w:sz w:val="22"/>
          <w:szCs w:val="22"/>
        </w:rPr>
        <w:t xml:space="preserve">The limitation clock on a negligence or misrepresentation claim runs from the date on which damage was suffered (or, for s.14A Limitation Act purposes, from the date of knowledge). With the IVA commencing in September 2023, limitation is not an immediate concern, but the matter should be progressed without unnecessary delay — particularly in light of Mr Smith's age and health.</w:t>
      </w:r>
    </w:p>
    <w:p>
      <w:pPr>
        <w:pStyle w:val="Heading2"/>
        <w:spacing w:after="140" w:before="280"/>
      </w:pPr>
      <w:r>
        <w:rPr>
          <w:rFonts w:ascii="Calibri" w:cs="Calibri" w:eastAsia="Calibri" w:hAnsi="Calibri"/>
          <w:b/>
          <w:bCs/>
          <w:color w:val="0B2E4F"/>
          <w:sz w:val="26"/>
          <w:szCs w:val="26"/>
        </w:rPr>
        <w:t xml:space="preserve">9.4 Suggested Solicitor Panel</w:t>
      </w:r>
    </w:p>
    <w:p>
      <w:pPr>
        <w:spacing w:after="120" w:before="0" w:line="300"/>
      </w:pPr>
      <w:r>
        <w:rPr>
          <w:rFonts w:ascii="Calibri" w:cs="Calibri" w:eastAsia="Calibri" w:hAnsi="Calibri"/>
          <w:sz w:val="22"/>
          <w:szCs w:val="22"/>
        </w:rPr>
        <w:t xml:space="preserve">Speak For You recommends approaching firms specialising in IVA mis-selling claims with a track record of running vulnerability-led consumer credit and insolvency mis-selling cases. First approach: a specialist northern firm with existing IVA mis-selling practice. Full referral documentation — including authority to act, signed advocacy consent, and the forensic pack assembled in this report — is provided at point of referral.</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10. Client-First Recommendations</w:t>
      </w:r>
    </w:p>
    <w:p>
      <w:pPr>
        <w:spacing w:after="120" w:before="0" w:line="300"/>
      </w:pPr>
      <w:r>
        <w:rPr>
          <w:rFonts w:ascii="Calibri" w:cs="Calibri" w:eastAsia="Calibri" w:hAnsi="Calibri"/>
          <w:sz w:val="22"/>
          <w:szCs w:val="22"/>
        </w:rPr>
        <w:t xml:space="preserve">The following recommendations are made solely in Mr Smith's best interest and are not influenced by any outcome for the Insolvency Practitioner, the IVA provider, or the creditor body.</w:t>
      </w:r>
    </w:p>
    <w:p>
      <w:pPr>
        <w:pStyle w:val="Heading3"/>
        <w:spacing w:after="100" w:before="200"/>
      </w:pPr>
      <w:r>
        <w:rPr>
          <w:rFonts w:ascii="Calibri" w:cs="Calibri" w:eastAsia="Calibri" w:hAnsi="Calibri"/>
          <w:b/>
          <w:bCs/>
          <w:color w:val="595959"/>
          <w:sz w:val="22"/>
          <w:szCs w:val="22"/>
        </w:rPr>
        <w:t xml:space="preserve">Immediate (0–14 days)</w:t>
      </w:r>
    </w:p>
    <w:p>
      <w:pPr>
        <w:pStyle w:val="ListParagraph"/>
        <w:numPr>
          <w:ilvl w:val="0"/>
          <w:numId w:val="2"/>
        </w:numPr>
        <w:spacing w:after="80" w:line="280"/>
      </w:pPr>
      <w:r>
        <w:rPr>
          <w:rFonts w:ascii="Calibri" w:cs="Calibri" w:eastAsia="Calibri" w:hAnsi="Calibri"/>
          <w:sz w:val="22"/>
          <w:szCs w:val="22"/>
        </w:rPr>
        <w:t xml:space="preserve">Obtain certified IVA payment history from the Supervisor covering September 2023 to present, itemising every contribution, every fee charged, and every distribution to creditors.</w:t>
      </w:r>
    </w:p>
    <w:p>
      <w:pPr>
        <w:pStyle w:val="ListParagraph"/>
        <w:numPr>
          <w:ilvl w:val="0"/>
          <w:numId w:val="2"/>
        </w:numPr>
        <w:spacing w:after="80" w:line="280"/>
      </w:pPr>
      <w:r>
        <w:rPr>
          <w:rFonts w:ascii="Calibri" w:cs="Calibri" w:eastAsia="Calibri" w:hAnsi="Calibri"/>
          <w:sz w:val="22"/>
          <w:szCs w:val="22"/>
        </w:rPr>
        <w:t xml:space="preserve">Request the original Fact Find, SFS at inception, Proposal, and full sales call recording (or transcript) from the IP and introducer under UK GDPR Subject Access Request.</w:t>
      </w:r>
    </w:p>
    <w:p>
      <w:pPr>
        <w:pStyle w:val="ListParagraph"/>
        <w:numPr>
          <w:ilvl w:val="0"/>
          <w:numId w:val="2"/>
        </w:numPr>
        <w:spacing w:after="80" w:line="280"/>
      </w:pPr>
      <w:r>
        <w:rPr>
          <w:rFonts w:ascii="Calibri" w:cs="Calibri" w:eastAsia="Calibri" w:hAnsi="Calibri"/>
          <w:sz w:val="22"/>
          <w:szCs w:val="22"/>
        </w:rPr>
        <w:t xml:space="preserve">Pause any further payment into the IVA pending review — Speak For You will draft an advocacy letter to the Supervisor notifying of complaint and requesting a hold on further contributions without adverse reporting.</w:t>
      </w:r>
    </w:p>
    <w:p>
      <w:pPr>
        <w:pStyle w:val="ListParagraph"/>
        <w:numPr>
          <w:ilvl w:val="0"/>
          <w:numId w:val="2"/>
        </w:numPr>
        <w:spacing w:after="80" w:line="280"/>
      </w:pPr>
      <w:r>
        <w:rPr>
          <w:rFonts w:ascii="Calibri" w:cs="Calibri" w:eastAsia="Calibri" w:hAnsi="Calibri"/>
          <w:sz w:val="22"/>
          <w:szCs w:val="22"/>
        </w:rPr>
        <w:t xml:space="preserve">Confirm Pension Credit entitlement with the DWP — many pensioners in IVAs are under-claiming income they are entitled to.</w:t>
      </w:r>
    </w:p>
    <w:p>
      <w:pPr>
        <w:pStyle w:val="Heading3"/>
        <w:spacing w:after="100" w:before="200"/>
      </w:pPr>
      <w:r>
        <w:rPr>
          <w:rFonts w:ascii="Calibri" w:cs="Calibri" w:eastAsia="Calibri" w:hAnsi="Calibri"/>
          <w:b/>
          <w:bCs/>
          <w:color w:val="595959"/>
          <w:sz w:val="22"/>
          <w:szCs w:val="22"/>
        </w:rPr>
        <w:t xml:space="preserve">Short term (14–60 days)</w:t>
      </w:r>
    </w:p>
    <w:p>
      <w:pPr>
        <w:pStyle w:val="ListParagraph"/>
        <w:numPr>
          <w:ilvl w:val="0"/>
          <w:numId w:val="2"/>
        </w:numPr>
        <w:spacing w:after="80" w:line="280"/>
      </w:pPr>
      <w:r>
        <w:rPr>
          <w:rFonts w:ascii="Calibri" w:cs="Calibri" w:eastAsia="Calibri" w:hAnsi="Calibri"/>
          <w:sz w:val="22"/>
          <w:szCs w:val="22"/>
        </w:rPr>
        <w:t xml:space="preserve">File a formal complaint with the Insolvency Practitioner using the firm's internal complaints procedure.</w:t>
      </w:r>
    </w:p>
    <w:p>
      <w:pPr>
        <w:pStyle w:val="ListParagraph"/>
        <w:numPr>
          <w:ilvl w:val="0"/>
          <w:numId w:val="2"/>
        </w:numPr>
        <w:spacing w:after="80" w:line="280"/>
      </w:pPr>
      <w:r>
        <w:rPr>
          <w:rFonts w:ascii="Calibri" w:cs="Calibri" w:eastAsia="Calibri" w:hAnsi="Calibri"/>
          <w:sz w:val="22"/>
          <w:szCs w:val="22"/>
        </w:rPr>
        <w:t xml:space="preserve">Where the internal response is unsatisfactory or not provided within 28 days, escalate to the Insolvency Service Complaints Gateway and the IP's regulatory body (IPA / ICAEW / IPA equivalent).</w:t>
      </w:r>
    </w:p>
    <w:p>
      <w:pPr>
        <w:pStyle w:val="ListParagraph"/>
        <w:numPr>
          <w:ilvl w:val="0"/>
          <w:numId w:val="2"/>
        </w:numPr>
        <w:spacing w:after="80" w:line="280"/>
      </w:pPr>
      <w:r>
        <w:rPr>
          <w:rFonts w:ascii="Calibri" w:cs="Calibri" w:eastAsia="Calibri" w:hAnsi="Calibri"/>
          <w:sz w:val="22"/>
          <w:szCs w:val="22"/>
        </w:rPr>
        <w:t xml:space="preserve">Where an FCA-authorised introducer was involved, file a parallel complaint with that firm and, on exhaustion of the internal process, with the Financial Ombudsman Service.</w:t>
      </w:r>
    </w:p>
    <w:p>
      <w:pPr>
        <w:pStyle w:val="ListParagraph"/>
        <w:numPr>
          <w:ilvl w:val="0"/>
          <w:numId w:val="2"/>
        </w:numPr>
        <w:spacing w:after="80" w:line="280"/>
      </w:pPr>
      <w:r>
        <w:rPr>
          <w:rFonts w:ascii="Calibri" w:cs="Calibri" w:eastAsia="Calibri" w:hAnsi="Calibri"/>
          <w:sz w:val="22"/>
          <w:szCs w:val="22"/>
        </w:rPr>
        <w:t xml:space="preserve">Formal referral to a specialist solicitor firm for the mis-selling claim under authority to act.</w:t>
      </w:r>
    </w:p>
    <w:p>
      <w:pPr>
        <w:pStyle w:val="Heading3"/>
        <w:spacing w:after="100" w:before="200"/>
      </w:pPr>
      <w:r>
        <w:rPr>
          <w:rFonts w:ascii="Calibri" w:cs="Calibri" w:eastAsia="Calibri" w:hAnsi="Calibri"/>
          <w:b/>
          <w:bCs/>
          <w:color w:val="595959"/>
          <w:sz w:val="22"/>
          <w:szCs w:val="22"/>
        </w:rPr>
        <w:t xml:space="preserve">Medium term (2–6 months)</w:t>
      </w:r>
    </w:p>
    <w:p>
      <w:pPr>
        <w:pStyle w:val="ListParagraph"/>
        <w:numPr>
          <w:ilvl w:val="0"/>
          <w:numId w:val="2"/>
        </w:numPr>
        <w:spacing w:after="80" w:line="280"/>
      </w:pPr>
      <w:r>
        <w:rPr>
          <w:rFonts w:ascii="Calibri" w:cs="Calibri" w:eastAsia="Calibri" w:hAnsi="Calibri"/>
          <w:sz w:val="22"/>
          <w:szCs w:val="22"/>
        </w:rPr>
        <w:t xml:space="preserve">On termination of the IVA, immediate referral to an Approved Intermediary (Citizens Advice / StepChange / Money Advice Plus) for a Debt Relief Order application — now fee-free — to clear the residual balance.</w:t>
      </w:r>
    </w:p>
    <w:p>
      <w:pPr>
        <w:pStyle w:val="ListParagraph"/>
        <w:numPr>
          <w:ilvl w:val="0"/>
          <w:numId w:val="2"/>
        </w:numPr>
        <w:spacing w:after="80" w:line="280"/>
      </w:pPr>
      <w:r>
        <w:rPr>
          <w:rFonts w:ascii="Calibri" w:cs="Calibri" w:eastAsia="Calibri" w:hAnsi="Calibri"/>
          <w:sz w:val="22"/>
          <w:szCs w:val="22"/>
        </w:rPr>
        <w:t xml:space="preserve">Solicitor-led pre-action correspondence and, if required, issuing of proceedings for restitution and damages.</w:t>
      </w:r>
    </w:p>
    <w:p>
      <w:pPr>
        <w:pStyle w:val="ListParagraph"/>
        <w:numPr>
          <w:ilvl w:val="0"/>
          <w:numId w:val="2"/>
        </w:numPr>
        <w:spacing w:after="80" w:line="280"/>
      </w:pPr>
      <w:r>
        <w:rPr>
          <w:rFonts w:ascii="Calibri" w:cs="Calibri" w:eastAsia="Calibri" w:hAnsi="Calibri"/>
          <w:sz w:val="22"/>
          <w:szCs w:val="22"/>
        </w:rPr>
        <w:t xml:space="preserve">Credit file corrections sought in parallel — removal of IVA markers and of any Individual Insolvency Register entry.</w:t>
      </w:r>
    </w:p>
    <w:p>
      <w:pPr>
        <w:pStyle w:val="Heading3"/>
        <w:spacing w:after="100" w:before="200"/>
      </w:pPr>
      <w:r>
        <w:rPr>
          <w:rFonts w:ascii="Calibri" w:cs="Calibri" w:eastAsia="Calibri" w:hAnsi="Calibri"/>
          <w:b/>
          <w:bCs/>
          <w:color w:val="595959"/>
          <w:sz w:val="22"/>
          <w:szCs w:val="22"/>
        </w:rPr>
        <w:t xml:space="preserve">What Mr Smith should NOT do</w:t>
      </w:r>
    </w:p>
    <w:p>
      <w:pPr>
        <w:pStyle w:val="ListParagraph"/>
        <w:numPr>
          <w:ilvl w:val="0"/>
          <w:numId w:val="2"/>
        </w:numPr>
        <w:spacing w:after="80" w:line="280"/>
      </w:pPr>
      <w:r>
        <w:rPr>
          <w:rFonts w:ascii="Calibri" w:cs="Calibri" w:eastAsia="Calibri" w:hAnsi="Calibri"/>
          <w:sz w:val="22"/>
          <w:szCs w:val="22"/>
        </w:rPr>
        <w:t xml:space="preserve">Do not accept a settlement offer from the IP firm without a solicitor reviewing the terms — early offers typically undervalue the claim and include confidentiality terms that limit pattern evidence.</w:t>
      </w:r>
    </w:p>
    <w:p>
      <w:pPr>
        <w:pStyle w:val="ListParagraph"/>
        <w:numPr>
          <w:ilvl w:val="0"/>
          <w:numId w:val="2"/>
        </w:numPr>
        <w:spacing w:after="80" w:line="280"/>
      </w:pPr>
      <w:r>
        <w:rPr>
          <w:rFonts w:ascii="Calibri" w:cs="Calibri" w:eastAsia="Calibri" w:hAnsi="Calibri"/>
          <w:sz w:val="22"/>
          <w:szCs w:val="22"/>
        </w:rPr>
        <w:t xml:space="preserve">Do not let the IVA run to completion on the assumption that 'it's nearly done' — every further month is further detriment and further fees to the IP.</w:t>
      </w:r>
    </w:p>
    <w:p>
      <w:pPr>
        <w:pStyle w:val="ListParagraph"/>
        <w:numPr>
          <w:ilvl w:val="0"/>
          <w:numId w:val="2"/>
        </w:numPr>
        <w:spacing w:after="80" w:line="280"/>
      </w:pPr>
      <w:r>
        <w:rPr>
          <w:rFonts w:ascii="Calibri" w:cs="Calibri" w:eastAsia="Calibri" w:hAnsi="Calibri"/>
          <w:sz w:val="22"/>
          <w:szCs w:val="22"/>
        </w:rPr>
        <w:t xml:space="preserve">Do not engage with cold contact from any firm claiming to 'fix' the IVA in exchange for an upfront fee — any replacement debt solution for Mr Smith is a DRO, which is free.</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11. Conclusion</w:t>
      </w:r>
    </w:p>
    <w:p>
      <w:pPr>
        <w:spacing w:after="120" w:before="0" w:line="300"/>
      </w:pPr>
      <w:r>
        <w:rPr>
          <w:rFonts w:ascii="Calibri" w:cs="Calibri" w:eastAsia="Calibri" w:hAnsi="Calibri"/>
          <w:sz w:val="22"/>
          <w:szCs w:val="22"/>
        </w:rPr>
        <w:t xml:space="preserve">Mr John Smith is a 73-year-old pensioner with serious physical and mental health vulnerabilities who was placed into a 6-year Individual Voluntary Arrangement in September 2023 in respect of approximately £17,500 of unsecured consumer debt. He had no assets, no surplus income, and every qualifying feature for a Debt Relief Order — a free, 12-month statutory product that would have left him discharged and debt-free by September 2024.</w:t>
      </w:r>
    </w:p>
    <w:p>
      <w:pPr>
        <w:spacing w:after="120" w:before="0" w:line="300"/>
      </w:pPr>
      <w:r>
        <w:rPr>
          <w:rFonts w:ascii="Calibri" w:cs="Calibri" w:eastAsia="Calibri" w:hAnsi="Calibri"/>
          <w:sz w:val="22"/>
          <w:szCs w:val="22"/>
        </w:rPr>
        <w:t xml:space="preserve">Instead, the recommendation of an IVA has cost him approximately £3,100 in contributions he could not afford, has extracted approximately £1,860 in fees to the Nominee and Supervisor, and has produced a sub-20p dividend to creditors. The arrangement is unaffordable, unsuitable, and, on the available evidence, mis-sold.</w:t>
      </w:r>
    </w:p>
    <w:p>
      <w:pPr>
        <w:spacing w:after="120" w:before="0" w:line="300"/>
      </w:pPr>
      <w:r>
        <w:rPr>
          <w:rFonts w:ascii="Calibri" w:cs="Calibri" w:eastAsia="Calibri" w:hAnsi="Calibri"/>
          <w:sz w:val="22"/>
          <w:szCs w:val="22"/>
        </w:rPr>
        <w:t xml:space="preserve">Speak For You's position is straightforward: the IVA should be terminated, the contributions restored, a DRO pursued to clear the residual balance, and a solicitor-led mis-selling claim pursued against the IP and any FCA-regulated introducer for restitution and damages. Mr Smith is entitled to a remedy that matches the vulnerability that was ignored when he was sold this product.</w:t>
      </w:r>
    </w:p>
    <w:p>
      <w:pPr>
        <w:spacing w:after="120" w:before="400"/>
      </w:pPr>
      <w:r>
        <w:rPr>
          <w:rFonts w:ascii="Calibri" w:cs="Calibri" w:eastAsia="Calibri" w:hAnsi="Calibri"/>
          <w:b/>
          <w:bCs/>
          <w:sz w:val="22"/>
          <w:szCs w:val="22"/>
        </w:rPr>
        <w:t xml:space="preserve">Prepared by:</w:t>
      </w:r>
    </w:p>
    <w:p>
      <w:pPr>
        <w:spacing w:after="120" w:before="0" w:line="300"/>
      </w:pPr>
      <w:r>
        <w:rPr>
          <w:rFonts w:ascii="Calibri" w:cs="Calibri" w:eastAsia="Calibri" w:hAnsi="Calibri"/>
          <w:b/>
          <w:bCs/>
          <w:sz w:val="22"/>
          <w:szCs w:val="22"/>
        </w:rPr>
        <w:t xml:space="preserve">Speak For You Advocacy Team</w:t>
      </w:r>
    </w:p>
    <w:p>
      <w:pPr>
        <w:spacing w:after="120" w:before="0" w:line="300"/>
      </w:pPr>
      <w:r>
        <w:rPr>
          <w:rFonts w:ascii="Calibri" w:cs="Calibri" w:eastAsia="Calibri" w:hAnsi="Calibri"/>
          <w:sz w:val="22"/>
          <w:szCs w:val="22"/>
        </w:rPr>
        <w:t xml:space="preserve">Speak For You Ltd — Company No. 16773572</w:t>
      </w:r>
    </w:p>
    <w:p>
      <w:pPr>
        <w:spacing w:after="120" w:before="0" w:line="300"/>
      </w:pPr>
      <w:r>
        <w:rPr>
          <w:rFonts w:ascii="Calibri" w:cs="Calibri" w:eastAsia="Calibri" w:hAnsi="Calibri"/>
          <w:sz w:val="22"/>
          <w:szCs w:val="22"/>
        </w:rPr>
        <w:t xml:space="preserve">12 Malfield House, Malfield Avenue, Redditch, B97 6PW</w:t>
      </w:r>
    </w:p>
    <w:p>
      <w:pPr>
        <w:spacing w:after="120" w:before="0" w:line="300"/>
      </w:pPr>
      <w:r>
        <w:rPr>
          <w:rFonts w:ascii="Calibri" w:cs="Calibri" w:eastAsia="Calibri" w:hAnsi="Calibri"/>
          <w:sz w:val="22"/>
          <w:szCs w:val="22"/>
        </w:rPr>
        <w:t xml:space="preserve">0800 707 4264  •  admin@speakforyou.co.uk  •  www.speakforyou.co.uk</w:t>
      </w:r>
    </w:p>
    <w:p>
      <w:pPr>
        <w:spacing w:after="120" w:before="300"/>
      </w:pPr>
      <w:r>
        <w:rPr>
          <w:rFonts w:ascii="Calibri" w:cs="Calibri" w:eastAsia="Calibri" w:hAnsi="Calibri"/>
          <w:i/>
          <w:iCs/>
          <w:color w:val="595959"/>
          <w:sz w:val="20"/>
          <w:szCs w:val="20"/>
        </w:rPr>
        <w:t xml:space="preserve">Date of issue: 21 April 2026</w:t>
      </w:r>
    </w:p>
    <w:p>
      <w:r>
        <w:br w:type="page"/>
      </w:r>
    </w:p>
    <w:p>
      <w:pPr>
        <w:pStyle w:val="Heading1"/>
        <w:pBdr>
          <w:bottom w:val="single" w:color="B8893D" w:sz="12" w:space="4"/>
        </w:pBdr>
        <w:spacing w:after="200" w:before="360"/>
      </w:pPr>
      <w:r>
        <w:rPr>
          <w:rFonts w:ascii="Calibri" w:cs="Calibri" w:eastAsia="Calibri" w:hAnsi="Calibri"/>
          <w:b/>
          <w:bCs/>
          <w:color w:val="0B2E4F"/>
          <w:sz w:val="32"/>
          <w:szCs w:val="32"/>
        </w:rPr>
        <w:t xml:space="preserve">12. Disclaimer</w:t>
      </w:r>
    </w:p>
    <w:p>
      <w:pPr>
        <w:spacing w:after="120" w:before="0" w:line="300"/>
      </w:pPr>
      <w:r>
        <w:rPr>
          <w:rFonts w:ascii="Calibri" w:cs="Calibri" w:eastAsia="Calibri" w:hAnsi="Calibri"/>
          <w:i/>
          <w:iCs/>
          <w:color w:val="595959"/>
          <w:sz w:val="22"/>
          <w:szCs w:val="22"/>
        </w:rPr>
        <w:t xml:space="preserve">This report is an anonymised sample prepared by Speak For You for the purpose of illustrating the analytical framework applied to forensic IVA reviews. Although the facts depicted are representative of real patterns encountered by Speak For You among elderly and vulnerable consumers, the individual named in this report is fictitious and any resemblance to a real person is coincidental.</w:t>
      </w:r>
    </w:p>
    <w:p>
      <w:pPr>
        <w:spacing w:after="120" w:before="0" w:line="300"/>
      </w:pPr>
      <w:r>
        <w:rPr>
          <w:rFonts w:ascii="Calibri" w:cs="Calibri" w:eastAsia="Calibri" w:hAnsi="Calibri"/>
          <w:i/>
          <w:iCs/>
          <w:color w:val="595959"/>
          <w:sz w:val="22"/>
          <w:szCs w:val="22"/>
        </w:rPr>
        <w:t xml:space="preserve">Speak For You is an independent consumer advocacy service. We are not authorised or regulated by the Financial Conduct Authority. We do not provide regulated debt advice, regulated debt counselling, or regulated debt adjusting. We do not act as a claims management company. Our function is forensic case review, advocacy correspondence, and the facilitation of solicitor referrals where legal redress appears appropriate. Where a legal claim is pursued, it is conducted by a regulated solicitor firm under their own terms and professional obligations.</w:t>
      </w:r>
    </w:p>
    <w:p>
      <w:pPr>
        <w:spacing w:after="120" w:before="0" w:line="300"/>
      </w:pPr>
      <w:r>
        <w:rPr>
          <w:rFonts w:ascii="Calibri" w:cs="Calibri" w:eastAsia="Calibri" w:hAnsi="Calibri"/>
          <w:i/>
          <w:iCs/>
          <w:color w:val="595959"/>
          <w:sz w:val="22"/>
          <w:szCs w:val="22"/>
        </w:rPr>
        <w:t xml:space="preserve">All regulatory references in this report (SIP 3.1, IVA Protocol 2021, FCA Consumer Duty, CONC, Equality Act 2010, Mental Capacity Act 2005, Limitation Act 1980, Misrepresentation Act 1967, Consumer Credit Act 1974, FSMA 2000) are accurate as at the date of issue. SFS ceiling figures reflect the 2025 guideline schedule (+5%). DRO threshold references reflect the pre-June 2024 limits applicable at inception in September 2023, with post-June 2024 changes noted where relevant.</w:t>
      </w:r>
    </w:p>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6"/>
        <w:szCs w:val="16"/>
      </w:rPr>
      <w:t xml:space="preserve">Speak For You Ltd — Company No. 16773572   |   admin@speakforyou.co.uk   |   0800 707 4264   |   Page </w:t>
    </w:r>
    <w:r>
      <w:rPr>
        <w:rFonts w:ascii="Calibri" w:cs="Calibri" w:eastAsia="Calibri" w:hAnsi="Calibri"/>
        <w:color w:val="595959"/>
        <w:sz w:val="16"/>
        <w:szCs w:val="16"/>
      </w:rPr>
      <w:fldChar w:fldCharType="begin"/>
      <w:instrText xml:space="preserve">PAGE</w:instrText>
      <w:fldChar w:fldCharType="separate"/>
      <w:fldChar w:fldCharType="end"/>
    </w:r>
    <w:r>
      <w:rPr>
        <w:rFonts w:ascii="Calibri" w:cs="Calibri" w:eastAsia="Calibri" w:hAnsi="Calibri"/>
        <w:color w:val="595959"/>
        <w:sz w:val="16"/>
        <w:szCs w:val="16"/>
      </w:rPr>
      <w:t xml:space="preserve"> of </w:t>
    </w:r>
    <w:r>
      <w:rPr>
        <w:rFonts w:ascii="Calibri" w:cs="Calibri" w:eastAsia="Calibri" w:hAnsi="Calibri"/>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8893D" w:sz="6" w:space="4"/>
      </w:pBdr>
      <w:spacing w:after="60"/>
    </w:pPr>
    <w:r>
      <w:rPr>
        <w:rFonts w:ascii="Calibri" w:cs="Calibri" w:eastAsia="Calibri" w:hAnsi="Calibri"/>
        <w:b/>
        <w:bCs/>
        <w:color w:val="0B2E4F"/>
        <w:sz w:val="18"/>
        <w:szCs w:val="18"/>
      </w:rPr>
      <w:t xml:space="preserve">SPEAK FOR YOU</w:t>
    </w:r>
    <w:r>
      <w:rPr>
        <w:rFonts w:ascii="Calibri" w:cs="Calibri" w:eastAsia="Calibri" w:hAnsi="Calibri"/>
        <w:color w:val="595959"/>
        <w:sz w:val="16"/>
        <w:szCs w:val="16"/>
      </w:rPr>
      <w:t xml:space="preserve">   |   FORENSIC IVA REVIEW   |   SAMPLE REPORT — SFY-SAMPLE-001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lvl w:ilvl="1" w15:tentative="1">
      <w:start w:val="1"/>
      <w:numFmt w:val="bullet"/>
      <w:lvlText w:val="◦"/>
      <w:lvlJc w:val="left"/>
      <w:pPr>
        <w:ind w:left="90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B2E4F"/>
      <w:sz w:val="32"/>
      <w:szCs w:val="32"/>
    </w:rPr>
  </w:style>
  <w:style w:type="paragraph" w:styleId="Heading2">
    <w:name w:val="Heading 2"/>
    <w:basedOn w:val="Normal"/>
    <w:next w:val="Normal"/>
    <w:qFormat/>
    <w:pPr>
      <w:spacing w:after="140" w:before="280"/>
      <w:outlineLvl w:val="1"/>
    </w:pPr>
    <w:rPr>
      <w:rFonts w:ascii="Calibri" w:cs="Calibri" w:eastAsia="Calibri" w:hAnsi="Calibri"/>
      <w:b/>
      <w:bCs/>
      <w:color w:val="0B2E4F"/>
      <w:sz w:val="26"/>
      <w:szCs w:val="26"/>
    </w:rPr>
  </w:style>
  <w:style w:type="paragraph" w:styleId="Heading3">
    <w:name w:val="Heading 3"/>
    <w:basedOn w:val="Normal"/>
    <w:next w:val="Normal"/>
    <w:qFormat/>
    <w:pPr>
      <w:spacing w:after="100" w:before="200"/>
      <w:outlineLvl w:val="2"/>
    </w:pPr>
    <w:rPr>
      <w:rFonts w:ascii="Calibri" w:cs="Calibri" w:eastAsia="Calibri" w:hAnsi="Calibri"/>
      <w:b/>
      <w:bCs/>
      <w:color w:val="595959"/>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IVA Review Report — John Smith (Sample)</dc:title>
  <dc:creator>Speak For You</dc:creator>
  <cp:lastModifiedBy>Un-named</cp:lastModifiedBy>
  <cp:revision>1</cp:revision>
  <dcterms:created xsi:type="dcterms:W3CDTF">2026-04-21T10:13:40.319Z</dcterms:created>
  <dcterms:modified xsi:type="dcterms:W3CDTF">2026-04-21T10:13:40.322Z</dcterms:modified>
</cp:coreProperties>
</file>

<file path=docProps/custom.xml><?xml version="1.0" encoding="utf-8"?>
<Properties xmlns="http://schemas.openxmlformats.org/officeDocument/2006/custom-properties" xmlns:vt="http://schemas.openxmlformats.org/officeDocument/2006/docPropsVTypes"/>
</file>